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B9D4" w14:textId="77777777" w:rsidR="00A739ED" w:rsidRDefault="00695653" w:rsidP="00606FAA">
      <w:pPr>
        <w:pStyle w:val="BodyText"/>
        <w:jc w:val="center"/>
        <w:rPr>
          <w:rFonts w:ascii="Times New Roman"/>
        </w:rPr>
      </w:pPr>
      <w:r>
        <w:rPr>
          <w:noProof/>
        </w:rPr>
        <w:drawing>
          <wp:inline distT="0" distB="0" distL="0" distR="0" wp14:anchorId="36008F52" wp14:editId="4E871115">
            <wp:extent cx="3812540" cy="3081655"/>
            <wp:effectExtent l="0" t="0" r="0" b="444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8"/>
                    <a:stretch>
                      <a:fillRect/>
                    </a:stretch>
                  </pic:blipFill>
                  <pic:spPr>
                    <a:xfrm>
                      <a:off x="0" y="0"/>
                      <a:ext cx="3812540" cy="3081655"/>
                    </a:xfrm>
                    <a:prstGeom prst="rect">
                      <a:avLst/>
                    </a:prstGeom>
                  </pic:spPr>
                </pic:pic>
              </a:graphicData>
            </a:graphic>
          </wp:inline>
        </w:drawing>
      </w:r>
    </w:p>
    <w:p w14:paraId="49F8C911" w14:textId="77777777" w:rsidR="00A739ED" w:rsidRDefault="00A739ED">
      <w:pPr>
        <w:pStyle w:val="BodyText"/>
        <w:rPr>
          <w:rFonts w:ascii="Times New Roman"/>
        </w:rPr>
      </w:pPr>
    </w:p>
    <w:p w14:paraId="68465CDA" w14:textId="77777777" w:rsidR="00A739ED" w:rsidRDefault="00A739ED">
      <w:pPr>
        <w:pStyle w:val="BodyText"/>
        <w:rPr>
          <w:rFonts w:ascii="Times New Roman"/>
        </w:rPr>
      </w:pPr>
    </w:p>
    <w:p w14:paraId="6E650291" w14:textId="77777777" w:rsidR="00A739ED" w:rsidRDefault="00A739ED">
      <w:pPr>
        <w:pStyle w:val="BodyText"/>
        <w:rPr>
          <w:rFonts w:ascii="Times New Roman"/>
        </w:rPr>
      </w:pPr>
    </w:p>
    <w:p w14:paraId="342059AE" w14:textId="77777777" w:rsidR="00A739ED" w:rsidRDefault="00A739ED">
      <w:pPr>
        <w:pStyle w:val="BodyText"/>
        <w:rPr>
          <w:rFonts w:ascii="Times New Roman"/>
        </w:rPr>
      </w:pPr>
    </w:p>
    <w:p w14:paraId="581D3C5B" w14:textId="77777777" w:rsidR="00A739ED" w:rsidRDefault="00A739ED">
      <w:pPr>
        <w:pStyle w:val="BodyText"/>
        <w:rPr>
          <w:rFonts w:ascii="Times New Roman"/>
        </w:rPr>
      </w:pPr>
    </w:p>
    <w:p w14:paraId="74A14838" w14:textId="77777777" w:rsidR="00A739ED" w:rsidRDefault="00A739ED">
      <w:pPr>
        <w:pStyle w:val="BodyText"/>
        <w:spacing w:before="7"/>
        <w:rPr>
          <w:rFonts w:ascii="Times New Roman"/>
          <w:sz w:val="15"/>
        </w:rPr>
      </w:pPr>
    </w:p>
    <w:p w14:paraId="6A5C9263" w14:textId="77777777" w:rsidR="00A739ED" w:rsidRDefault="00A739ED">
      <w:pPr>
        <w:pStyle w:val="BodyText"/>
        <w:spacing w:line="90" w:lineRule="exact"/>
        <w:ind w:left="2755"/>
        <w:rPr>
          <w:rFonts w:ascii="Times New Roman"/>
          <w:sz w:val="9"/>
        </w:rPr>
      </w:pPr>
    </w:p>
    <w:p w14:paraId="7C68DE84" w14:textId="77777777" w:rsidR="00A739ED" w:rsidRDefault="00A739ED">
      <w:pPr>
        <w:pStyle w:val="BodyText"/>
        <w:spacing w:before="6"/>
        <w:rPr>
          <w:rFonts w:ascii="Times New Roman"/>
          <w:sz w:val="22"/>
        </w:rPr>
      </w:pPr>
    </w:p>
    <w:p w14:paraId="5E2D6623" w14:textId="77777777" w:rsidR="00705FFE" w:rsidRDefault="00742E33" w:rsidP="00695653">
      <w:pPr>
        <w:spacing w:before="101"/>
        <w:jc w:val="center"/>
        <w:rPr>
          <w:rFonts w:ascii="Cambria" w:hAnsi="Cambria"/>
          <w:b/>
          <w:sz w:val="72"/>
        </w:rPr>
      </w:pPr>
      <w:r w:rsidRPr="00722DA5">
        <w:rPr>
          <w:rFonts w:ascii="Cambria" w:hAnsi="Cambria"/>
          <w:b/>
          <w:sz w:val="72"/>
        </w:rPr>
        <w:t xml:space="preserve">GASB </w:t>
      </w:r>
      <w:r w:rsidR="00705FFE">
        <w:rPr>
          <w:rFonts w:ascii="Cambria" w:hAnsi="Cambria"/>
          <w:b/>
          <w:sz w:val="72"/>
        </w:rPr>
        <w:t xml:space="preserve">No. </w:t>
      </w:r>
      <w:r w:rsidR="00DB5BFF" w:rsidRPr="00722DA5">
        <w:rPr>
          <w:rFonts w:ascii="Cambria" w:hAnsi="Cambria"/>
          <w:b/>
          <w:sz w:val="72"/>
        </w:rPr>
        <w:t>75</w:t>
      </w:r>
      <w:r w:rsidR="00695A9D" w:rsidRPr="00722DA5">
        <w:rPr>
          <w:rFonts w:ascii="Cambria" w:hAnsi="Cambria"/>
          <w:b/>
          <w:sz w:val="72"/>
        </w:rPr>
        <w:t xml:space="preserve"> </w:t>
      </w:r>
    </w:p>
    <w:p w14:paraId="0EB4340B" w14:textId="77777777" w:rsidR="00A739ED" w:rsidRPr="00722DA5" w:rsidRDefault="00705FFE" w:rsidP="00695653">
      <w:pPr>
        <w:spacing w:before="101"/>
        <w:jc w:val="center"/>
        <w:rPr>
          <w:rFonts w:ascii="Cambria" w:hAnsi="Cambria"/>
          <w:b/>
          <w:sz w:val="72"/>
        </w:rPr>
      </w:pPr>
      <w:r>
        <w:rPr>
          <w:rFonts w:ascii="Cambria" w:hAnsi="Cambria"/>
          <w:b/>
          <w:sz w:val="72"/>
        </w:rPr>
        <w:t xml:space="preserve">User </w:t>
      </w:r>
      <w:r w:rsidR="00742E33" w:rsidRPr="00722DA5">
        <w:rPr>
          <w:rFonts w:ascii="Cambria" w:hAnsi="Cambria"/>
          <w:b/>
          <w:sz w:val="72"/>
        </w:rPr>
        <w:t>Guide</w:t>
      </w:r>
    </w:p>
    <w:p w14:paraId="323D4FFB" w14:textId="77777777" w:rsidR="00A739ED" w:rsidRDefault="00A739ED">
      <w:pPr>
        <w:pStyle w:val="BodyText"/>
        <w:spacing w:before="4"/>
        <w:rPr>
          <w:rFonts w:ascii="Cambria"/>
          <w:sz w:val="27"/>
        </w:rPr>
      </w:pPr>
    </w:p>
    <w:p w14:paraId="75321CAF" w14:textId="77777777" w:rsidR="00A739ED" w:rsidRDefault="00A739ED">
      <w:pPr>
        <w:pStyle w:val="BodyText"/>
        <w:spacing w:before="6"/>
        <w:rPr>
          <w:rFonts w:ascii="Cambria"/>
          <w:sz w:val="26"/>
        </w:rPr>
      </w:pPr>
    </w:p>
    <w:p w14:paraId="1E8350E0" w14:textId="77777777" w:rsidR="00A739ED" w:rsidRDefault="00A739ED">
      <w:pPr>
        <w:pStyle w:val="BodyText"/>
        <w:rPr>
          <w:rFonts w:ascii="Calibri"/>
        </w:rPr>
      </w:pPr>
    </w:p>
    <w:p w14:paraId="2EC2590C" w14:textId="77777777" w:rsidR="00A739ED" w:rsidRDefault="00A739ED">
      <w:pPr>
        <w:pStyle w:val="BodyText"/>
        <w:spacing w:before="1"/>
        <w:rPr>
          <w:rFonts w:ascii="Calibri"/>
          <w:sz w:val="27"/>
        </w:rPr>
      </w:pPr>
    </w:p>
    <w:p w14:paraId="70DEF99F" w14:textId="77777777" w:rsidR="00A739ED" w:rsidRDefault="00A739ED">
      <w:pPr>
        <w:pStyle w:val="BodyText"/>
        <w:rPr>
          <w:rFonts w:ascii="Calibri"/>
        </w:rPr>
      </w:pPr>
    </w:p>
    <w:p w14:paraId="351B47EB" w14:textId="77777777" w:rsidR="00A739ED" w:rsidRDefault="00A739ED">
      <w:pPr>
        <w:pStyle w:val="BodyText"/>
        <w:rPr>
          <w:rFonts w:ascii="Calibri"/>
          <w:sz w:val="21"/>
        </w:rPr>
      </w:pPr>
    </w:p>
    <w:p w14:paraId="72A2BF49" w14:textId="77777777" w:rsidR="00A739ED" w:rsidRDefault="00A739ED">
      <w:pPr>
        <w:pStyle w:val="BodyText"/>
        <w:spacing w:before="5"/>
        <w:rPr>
          <w:rFonts w:ascii="Calibri"/>
          <w:sz w:val="23"/>
        </w:rPr>
      </w:pPr>
    </w:p>
    <w:p w14:paraId="68914735" w14:textId="30930AC9" w:rsidR="00A739ED" w:rsidRPr="00722DA5" w:rsidRDefault="00742E33" w:rsidP="00695653">
      <w:pPr>
        <w:spacing w:before="44"/>
        <w:jc w:val="center"/>
        <w:rPr>
          <w:rFonts w:ascii="Cambria" w:hAnsi="Cambria"/>
          <w:sz w:val="28"/>
        </w:rPr>
      </w:pPr>
      <w:r w:rsidRPr="00722DA5">
        <w:rPr>
          <w:rFonts w:ascii="Cambria" w:hAnsi="Cambria"/>
          <w:sz w:val="28"/>
        </w:rPr>
        <w:t xml:space="preserve">For the </w:t>
      </w:r>
      <w:r w:rsidR="003522E6">
        <w:rPr>
          <w:rFonts w:ascii="Cambria" w:hAnsi="Cambria"/>
          <w:sz w:val="28"/>
        </w:rPr>
        <w:t>Measurement</w:t>
      </w:r>
      <w:r w:rsidR="00920DD5">
        <w:rPr>
          <w:rFonts w:ascii="Cambria" w:hAnsi="Cambria"/>
          <w:sz w:val="28"/>
        </w:rPr>
        <w:t xml:space="preserve"> Year Ended June 30, 20</w:t>
      </w:r>
      <w:r w:rsidR="00EA23F1">
        <w:rPr>
          <w:rFonts w:ascii="Cambria" w:hAnsi="Cambria"/>
          <w:sz w:val="28"/>
        </w:rPr>
        <w:t>2</w:t>
      </w:r>
      <w:r w:rsidR="00EF06DE">
        <w:rPr>
          <w:rFonts w:ascii="Cambria" w:hAnsi="Cambria"/>
          <w:sz w:val="28"/>
        </w:rPr>
        <w:t>3</w:t>
      </w:r>
    </w:p>
    <w:p w14:paraId="2865A77A" w14:textId="77777777" w:rsidR="00A739ED" w:rsidRDefault="00A739ED">
      <w:pPr>
        <w:pStyle w:val="BodyText"/>
        <w:spacing w:before="5"/>
        <w:rPr>
          <w:rFonts w:ascii="Calibri"/>
          <w:sz w:val="26"/>
        </w:rPr>
      </w:pPr>
    </w:p>
    <w:p w14:paraId="5ED6CA63" w14:textId="77777777" w:rsidR="00A739ED" w:rsidRDefault="00A739ED">
      <w:pPr>
        <w:rPr>
          <w:rFonts w:ascii="Calibri"/>
          <w:sz w:val="26"/>
        </w:rPr>
        <w:sectPr w:rsidR="00A739ED" w:rsidSect="0069565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sectPr>
      </w:pPr>
    </w:p>
    <w:p w14:paraId="711F1459" w14:textId="77777777" w:rsidR="00A739ED" w:rsidRDefault="00000000" w:rsidP="00695A9D">
      <w:pPr>
        <w:pStyle w:val="BodyText"/>
        <w:spacing w:before="10"/>
        <w:rPr>
          <w:rFonts w:ascii="Times New Roman"/>
        </w:rPr>
      </w:pPr>
      <w:r>
        <w:lastRenderedPageBreak/>
        <w:pict w14:anchorId="3421536D">
          <v:group id="_x0000_s2091" style="position:absolute;margin-left:134.15pt;margin-top:12.8pt;width:343.9pt;height:196.65pt;z-index:1168;mso-wrap-distance-left:0;mso-wrap-distance-right:0;mso-position-horizontal-relative:page" coordorigin="2683,256" coordsize="6878,3933">
            <v:shape id="_x0000_s2093" style="position:absolute;left:2683;top:256;width:6878;height:3933" coordorigin="2683,256" coordsize="6878,3933" o:spt="100" adj="0,,0" path="m9560,256r-6877,l2683,4189r6877,l9560,4181r-6862,l2690,4174r8,l2698,271r-8,l2698,263r6862,l9560,256xm2698,4174r-8,l2698,4181r,-7xm9545,4174r-6847,l2698,4181r6847,l9545,4174xm9545,263r,3918l9552,4174r8,l9560,271r-8,l9545,263xm9560,4174r-8,l9545,4181r15,l9560,4174xm2698,263r-8,8l2698,271r,-8xm9545,263r-6847,l2698,271r6847,l9545,263xm9560,263r-15,l9552,271r8,l9560,263xe" fillcolor="black" stroked="f">
              <v:stroke joinstyle="round"/>
              <v:formulas/>
              <v:path arrowok="t" o:connecttype="segments"/>
            </v:shape>
            <v:shapetype id="_x0000_t202" coordsize="21600,21600" o:spt="202" path="m,l,21600r21600,l21600,xe">
              <v:stroke joinstyle="miter"/>
              <v:path gradientshapeok="t" o:connecttype="rect"/>
            </v:shapetype>
            <v:shape id="_x0000_s2092" type="#_x0000_t202" style="position:absolute;left:2683;top:256;width:6878;height:3933" filled="f" stroked="f">
              <v:textbox style="mso-next-textbox:#_x0000_s2092" inset="0,0,0,0">
                <w:txbxContent>
                  <w:p w14:paraId="0BE0D4DC" w14:textId="77777777" w:rsidR="00742E33" w:rsidRPr="002B2CF9" w:rsidRDefault="00742E33" w:rsidP="002B2CF9">
                    <w:pPr>
                      <w:spacing w:before="84"/>
                      <w:ind w:left="2790" w:right="2824"/>
                      <w:jc w:val="center"/>
                      <w:rPr>
                        <w:b/>
                        <w:sz w:val="24"/>
                      </w:rPr>
                    </w:pPr>
                    <w:r w:rsidRPr="002B2CF9">
                      <w:rPr>
                        <w:b/>
                        <w:sz w:val="24"/>
                      </w:rPr>
                      <w:t>Disclaimer</w:t>
                    </w:r>
                  </w:p>
                  <w:p w14:paraId="4B52B491" w14:textId="77777777" w:rsidR="00742E33" w:rsidRDefault="00742E33">
                    <w:pPr>
                      <w:spacing w:before="4"/>
                      <w:rPr>
                        <w:rFonts w:ascii="Times New Roman"/>
                        <w:sz w:val="25"/>
                      </w:rPr>
                    </w:pPr>
                  </w:p>
                  <w:p w14:paraId="3EE604CE" w14:textId="77777777" w:rsidR="00742E33" w:rsidRPr="002B2CF9" w:rsidRDefault="00742E33">
                    <w:pPr>
                      <w:ind w:left="158" w:right="174" w:hanging="1"/>
                      <w:rPr>
                        <w:sz w:val="20"/>
                      </w:rPr>
                    </w:pPr>
                    <w:r w:rsidRPr="00CD7D51">
                      <w:rPr>
                        <w:sz w:val="20"/>
                      </w:rPr>
                      <w:t>The p</w:t>
                    </w:r>
                    <w:r w:rsidRPr="002B2CF9">
                      <w:rPr>
                        <w:sz w:val="20"/>
                      </w:rPr>
                      <w:t xml:space="preserve">urpose of this guide is to assist employers who are participants in the Retiree Health Care Fund administered by the New Mexico Retiree Health Care Authority to comply with the accounting and financial reporting requirements in the Governmental Accounting Standards Board’s </w:t>
                    </w:r>
                    <w:r w:rsidRPr="002B2CF9">
                      <w:rPr>
                        <w:i/>
                        <w:sz w:val="20"/>
                      </w:rPr>
                      <w:t xml:space="preserve">Statement No. 75, Accounting and Financial Reporting for Postemployment Benefits Other Than Pensions </w:t>
                    </w:r>
                    <w:r w:rsidRPr="002B2CF9">
                      <w:rPr>
                        <w:sz w:val="20"/>
                      </w:rPr>
                      <w:t xml:space="preserve">(GASB </w:t>
                    </w:r>
                    <w:r w:rsidR="00705FFE">
                      <w:rPr>
                        <w:sz w:val="20"/>
                      </w:rPr>
                      <w:t xml:space="preserve">No. </w:t>
                    </w:r>
                    <w:r w:rsidRPr="002B2CF9">
                      <w:rPr>
                        <w:sz w:val="20"/>
                      </w:rPr>
                      <w:t>75).</w:t>
                    </w:r>
                  </w:p>
                  <w:p w14:paraId="19531C6B" w14:textId="77777777" w:rsidR="00742E33" w:rsidRPr="002B2CF9" w:rsidRDefault="00742E33">
                    <w:pPr>
                      <w:spacing w:before="2"/>
                      <w:rPr>
                        <w:sz w:val="21"/>
                      </w:rPr>
                    </w:pPr>
                  </w:p>
                  <w:p w14:paraId="2475F696" w14:textId="77777777" w:rsidR="00742E33" w:rsidRPr="002B2CF9" w:rsidRDefault="00742E33">
                    <w:pPr>
                      <w:ind w:left="158" w:right="183"/>
                      <w:rPr>
                        <w:sz w:val="20"/>
                      </w:rPr>
                    </w:pPr>
                    <w:r w:rsidRPr="002B2CF9">
                      <w:rPr>
                        <w:sz w:val="20"/>
                      </w:rPr>
                      <w:t>The information provided by this guide and the tools included with this guide do not constitute, and should not be treated as, professional advice. As guidance, the information and tools are only the starting point for an employer and its auditors to independently determine the accuracy and completeness of the pension related information that is reported in the employer’s audited financial statements.</w:t>
                    </w:r>
                  </w:p>
                </w:txbxContent>
              </v:textbox>
            </v:shape>
            <w10:wrap type="topAndBottom" anchorx="page"/>
          </v:group>
        </w:pict>
      </w:r>
    </w:p>
    <w:p w14:paraId="505C991C" w14:textId="77777777" w:rsidR="00A739ED" w:rsidRDefault="00A739ED">
      <w:pPr>
        <w:pStyle w:val="BodyText"/>
        <w:rPr>
          <w:rFonts w:ascii="Times New Roman"/>
        </w:rPr>
      </w:pPr>
    </w:p>
    <w:p w14:paraId="0B6AADE7" w14:textId="77777777" w:rsidR="00695A9D" w:rsidRDefault="00695A9D">
      <w:pPr>
        <w:pStyle w:val="BodyText"/>
        <w:rPr>
          <w:rFonts w:ascii="Times New Roman"/>
        </w:rPr>
        <w:sectPr w:rsidR="00695A9D">
          <w:pgSz w:w="12240" w:h="15840"/>
          <w:pgMar w:top="1500" w:right="1720" w:bottom="280" w:left="1720" w:header="720" w:footer="720" w:gutter="0"/>
          <w:cols w:space="720"/>
        </w:sectPr>
      </w:pPr>
    </w:p>
    <w:p w14:paraId="169E2B85" w14:textId="77777777" w:rsidR="00A739ED" w:rsidRDefault="00A739ED">
      <w:pPr>
        <w:pStyle w:val="BodyText"/>
        <w:rPr>
          <w:rFonts w:ascii="Times New Roman"/>
        </w:rPr>
      </w:pPr>
    </w:p>
    <w:p w14:paraId="4CF8546C" w14:textId="77777777" w:rsidR="00A739ED" w:rsidRDefault="00A739ED">
      <w:pPr>
        <w:pStyle w:val="BodyText"/>
        <w:spacing w:before="3"/>
        <w:rPr>
          <w:rFonts w:ascii="Times New Roman"/>
        </w:rPr>
      </w:pPr>
    </w:p>
    <w:p w14:paraId="6DCB9B88" w14:textId="77777777" w:rsidR="00A739ED" w:rsidRDefault="00742E33">
      <w:pPr>
        <w:spacing w:before="100"/>
        <w:ind w:left="1160"/>
        <w:rPr>
          <w:rFonts w:ascii="Cambria"/>
          <w:b/>
          <w:color w:val="365F91"/>
          <w:sz w:val="28"/>
        </w:rPr>
      </w:pPr>
      <w:r>
        <w:rPr>
          <w:rFonts w:ascii="Cambria"/>
          <w:b/>
          <w:color w:val="365F91"/>
          <w:sz w:val="28"/>
        </w:rPr>
        <w:t>Contents</w:t>
      </w:r>
    </w:p>
    <w:p w14:paraId="371AAA9D" w14:textId="77777777" w:rsidR="007D1B64" w:rsidRDefault="007D1B64">
      <w:pPr>
        <w:spacing w:before="100"/>
        <w:ind w:left="1160"/>
        <w:rPr>
          <w:rFonts w:ascii="Cambria"/>
          <w:b/>
          <w:sz w:val="28"/>
        </w:rPr>
      </w:pPr>
    </w:p>
    <w:sdt>
      <w:sdtPr>
        <w:id w:val="1843203931"/>
        <w:docPartObj>
          <w:docPartGallery w:val="Table of Contents"/>
          <w:docPartUnique/>
        </w:docPartObj>
      </w:sdtPr>
      <w:sdtEndPr>
        <w:rPr>
          <w:rFonts w:ascii="Cambria" w:hAnsi="Cambria"/>
        </w:rPr>
      </w:sdtEndPr>
      <w:sdtContent>
        <w:p w14:paraId="15102CC5" w14:textId="77777777" w:rsidR="00A739ED" w:rsidRPr="00CB11A2" w:rsidRDefault="00000000">
          <w:pPr>
            <w:pStyle w:val="TOC1"/>
            <w:tabs>
              <w:tab w:val="right" w:leader="dot" w:pos="8359"/>
            </w:tabs>
            <w:spacing w:before="51"/>
            <w:rPr>
              <w:rFonts w:ascii="Cambria" w:hAnsi="Cambria"/>
            </w:rPr>
          </w:pPr>
          <w:hyperlink w:anchor="_TOC_250002" w:history="1">
            <w:r w:rsidR="00742E33" w:rsidRPr="00CB11A2">
              <w:rPr>
                <w:rFonts w:ascii="Cambria" w:hAnsi="Cambria"/>
              </w:rPr>
              <w:t>Introduction</w:t>
            </w:r>
            <w:r w:rsidR="00742E33" w:rsidRPr="00CB11A2">
              <w:rPr>
                <w:rFonts w:ascii="Cambria" w:hAnsi="Cambria"/>
              </w:rPr>
              <w:tab/>
              <w:t>1</w:t>
            </w:r>
          </w:hyperlink>
        </w:p>
        <w:p w14:paraId="28922BFA" w14:textId="77777777" w:rsidR="00A739ED" w:rsidRPr="00CB11A2" w:rsidRDefault="00000000">
          <w:pPr>
            <w:pStyle w:val="TOC1"/>
            <w:tabs>
              <w:tab w:val="right" w:leader="dot" w:pos="8358"/>
            </w:tabs>
            <w:rPr>
              <w:rFonts w:ascii="Cambria" w:hAnsi="Cambria"/>
            </w:rPr>
          </w:pPr>
          <w:hyperlink w:anchor="_TOC_250001" w:history="1">
            <w:r w:rsidR="00695A9D" w:rsidRPr="00CB11A2">
              <w:rPr>
                <w:rFonts w:ascii="Cambria" w:hAnsi="Cambria"/>
              </w:rPr>
              <w:t xml:space="preserve">Section 1: </w:t>
            </w:r>
            <w:r w:rsidR="00697084">
              <w:rPr>
                <w:rFonts w:ascii="Cambria" w:hAnsi="Cambria"/>
              </w:rPr>
              <w:t xml:space="preserve"> </w:t>
            </w:r>
            <w:r w:rsidR="00695A9D" w:rsidRPr="00CB11A2">
              <w:rPr>
                <w:rFonts w:ascii="Cambria" w:hAnsi="Cambria"/>
              </w:rPr>
              <w:t xml:space="preserve">GASB </w:t>
            </w:r>
            <w:r w:rsidR="007D1B64">
              <w:rPr>
                <w:rFonts w:ascii="Cambria" w:hAnsi="Cambria"/>
              </w:rPr>
              <w:t xml:space="preserve">No. </w:t>
            </w:r>
            <w:r w:rsidR="00695A9D" w:rsidRPr="00CB11A2">
              <w:rPr>
                <w:rFonts w:ascii="Cambria" w:hAnsi="Cambria"/>
              </w:rPr>
              <w:t>75</w:t>
            </w:r>
            <w:r w:rsidR="00742E33" w:rsidRPr="00CB11A2">
              <w:rPr>
                <w:rFonts w:ascii="Cambria" w:hAnsi="Cambria"/>
              </w:rPr>
              <w:t xml:space="preserve"> Requirements and Journal</w:t>
            </w:r>
            <w:r w:rsidR="00742E33" w:rsidRPr="00CB11A2">
              <w:rPr>
                <w:rFonts w:ascii="Cambria" w:hAnsi="Cambria"/>
                <w:spacing w:val="-5"/>
              </w:rPr>
              <w:t xml:space="preserve"> </w:t>
            </w:r>
            <w:r w:rsidR="00742E33" w:rsidRPr="00CB11A2">
              <w:rPr>
                <w:rFonts w:ascii="Cambria" w:hAnsi="Cambria"/>
              </w:rPr>
              <w:t>Entry</w:t>
            </w:r>
            <w:r w:rsidR="00742E33" w:rsidRPr="00CB11A2">
              <w:rPr>
                <w:rFonts w:ascii="Cambria" w:hAnsi="Cambria"/>
                <w:spacing w:val="-1"/>
              </w:rPr>
              <w:t xml:space="preserve"> </w:t>
            </w:r>
            <w:r w:rsidR="00742E33" w:rsidRPr="00CB11A2">
              <w:rPr>
                <w:rFonts w:ascii="Cambria" w:hAnsi="Cambria"/>
              </w:rPr>
              <w:t>Tool</w:t>
            </w:r>
            <w:r w:rsidR="00742E33" w:rsidRPr="00CB11A2">
              <w:rPr>
                <w:rFonts w:ascii="Cambria" w:hAnsi="Cambria"/>
              </w:rPr>
              <w:tab/>
              <w:t>2</w:t>
            </w:r>
          </w:hyperlink>
        </w:p>
        <w:p w14:paraId="0AADE852" w14:textId="754D6E4A" w:rsidR="00A739ED" w:rsidRPr="00CB11A2" w:rsidRDefault="00000000">
          <w:pPr>
            <w:pStyle w:val="TOC1"/>
            <w:tabs>
              <w:tab w:val="right" w:leader="dot" w:pos="8359"/>
            </w:tabs>
            <w:rPr>
              <w:rFonts w:ascii="Cambria" w:hAnsi="Cambria"/>
            </w:rPr>
          </w:pPr>
          <w:hyperlink w:anchor="_TOC_250000" w:history="1">
            <w:r w:rsidR="00742E33" w:rsidRPr="00CB11A2">
              <w:rPr>
                <w:rFonts w:ascii="Cambria" w:hAnsi="Cambria"/>
              </w:rPr>
              <w:t>Section 2:  How to Use the</w:t>
            </w:r>
            <w:r w:rsidR="00742E33" w:rsidRPr="00CB11A2">
              <w:rPr>
                <w:rFonts w:ascii="Cambria" w:hAnsi="Cambria"/>
                <w:spacing w:val="-3"/>
              </w:rPr>
              <w:t xml:space="preserve"> </w:t>
            </w:r>
            <w:r w:rsidR="00742E33" w:rsidRPr="00CB11A2">
              <w:rPr>
                <w:rFonts w:ascii="Cambria" w:hAnsi="Cambria"/>
              </w:rPr>
              <w:t>J</w:t>
            </w:r>
            <w:r w:rsidR="00F25ECC" w:rsidRPr="00CB11A2">
              <w:rPr>
                <w:rFonts w:ascii="Cambria" w:hAnsi="Cambria"/>
              </w:rPr>
              <w:t xml:space="preserve">ournal </w:t>
            </w:r>
            <w:r w:rsidR="00742E33" w:rsidRPr="00CB11A2">
              <w:rPr>
                <w:rFonts w:ascii="Cambria" w:hAnsi="Cambria"/>
              </w:rPr>
              <w:t>E</w:t>
            </w:r>
            <w:r w:rsidR="00F25ECC" w:rsidRPr="00CB11A2">
              <w:rPr>
                <w:rFonts w:ascii="Cambria" w:hAnsi="Cambria"/>
              </w:rPr>
              <w:t>ntry</w:t>
            </w:r>
            <w:r w:rsidR="00742E33" w:rsidRPr="00CB11A2">
              <w:rPr>
                <w:rFonts w:ascii="Cambria" w:hAnsi="Cambria"/>
                <w:spacing w:val="-1"/>
              </w:rPr>
              <w:t xml:space="preserve"> </w:t>
            </w:r>
            <w:r w:rsidR="00742E33" w:rsidRPr="00CB11A2">
              <w:rPr>
                <w:rFonts w:ascii="Cambria" w:hAnsi="Cambria"/>
              </w:rPr>
              <w:t>Tool</w:t>
            </w:r>
            <w:r w:rsidR="00742E33" w:rsidRPr="00CB11A2">
              <w:rPr>
                <w:rFonts w:ascii="Cambria" w:hAnsi="Cambria"/>
              </w:rPr>
              <w:tab/>
            </w:r>
          </w:hyperlink>
          <w:r w:rsidR="00010917">
            <w:rPr>
              <w:rFonts w:ascii="Cambria" w:hAnsi="Cambria"/>
            </w:rPr>
            <w:t>3</w:t>
          </w:r>
        </w:p>
        <w:p w14:paraId="4CB644BD" w14:textId="59EE9153" w:rsidR="00A739ED" w:rsidRPr="00CB11A2" w:rsidRDefault="00742E33">
          <w:pPr>
            <w:pStyle w:val="TOC1"/>
            <w:tabs>
              <w:tab w:val="right" w:leader="dot" w:pos="8361"/>
            </w:tabs>
            <w:spacing w:before="140" w:line="276" w:lineRule="auto"/>
            <w:ind w:right="436"/>
            <w:rPr>
              <w:rFonts w:ascii="Cambria" w:hAnsi="Cambria"/>
            </w:rPr>
          </w:pPr>
          <w:r w:rsidRPr="00CB11A2">
            <w:rPr>
              <w:rFonts w:ascii="Cambria" w:hAnsi="Cambria"/>
            </w:rPr>
            <w:t xml:space="preserve">Section 3: </w:t>
          </w:r>
          <w:r w:rsidR="00697084">
            <w:rPr>
              <w:rFonts w:ascii="Cambria" w:hAnsi="Cambria"/>
            </w:rPr>
            <w:t xml:space="preserve"> </w:t>
          </w:r>
          <w:r w:rsidRPr="00CB11A2">
            <w:rPr>
              <w:rFonts w:ascii="Cambria" w:hAnsi="Cambria"/>
            </w:rPr>
            <w:t xml:space="preserve">Financial Statement </w:t>
          </w:r>
          <w:r w:rsidR="007D1B64">
            <w:rPr>
              <w:rFonts w:ascii="Cambria" w:hAnsi="Cambria"/>
            </w:rPr>
            <w:t xml:space="preserve">Footnote </w:t>
          </w:r>
          <w:r w:rsidRPr="00CB11A2">
            <w:rPr>
              <w:rFonts w:ascii="Cambria" w:hAnsi="Cambria"/>
            </w:rPr>
            <w:t>and R</w:t>
          </w:r>
          <w:r w:rsidR="000D7509">
            <w:rPr>
              <w:rFonts w:ascii="Cambria" w:hAnsi="Cambria"/>
            </w:rPr>
            <w:t>SI</w:t>
          </w:r>
          <w:r w:rsidRPr="00CB11A2">
            <w:rPr>
              <w:rFonts w:ascii="Cambria" w:hAnsi="Cambria"/>
              <w:spacing w:val="-1"/>
            </w:rPr>
            <w:t xml:space="preserve"> </w:t>
          </w:r>
          <w:r w:rsidRPr="00CB11A2">
            <w:rPr>
              <w:rFonts w:ascii="Cambria" w:hAnsi="Cambria"/>
            </w:rPr>
            <w:t>Template</w:t>
          </w:r>
          <w:r w:rsidRPr="00CB11A2">
            <w:rPr>
              <w:rFonts w:ascii="Cambria" w:hAnsi="Cambria"/>
            </w:rPr>
            <w:tab/>
          </w:r>
          <w:r w:rsidR="00010917">
            <w:rPr>
              <w:rFonts w:ascii="Cambria" w:hAnsi="Cambria"/>
            </w:rPr>
            <w:t>5</w:t>
          </w:r>
        </w:p>
      </w:sdtContent>
    </w:sdt>
    <w:p w14:paraId="0777F449" w14:textId="77777777" w:rsidR="00A739ED" w:rsidRDefault="00A739ED">
      <w:pPr>
        <w:pStyle w:val="BodyText"/>
        <w:rPr>
          <w:rFonts w:ascii="Times New Roman"/>
          <w:b/>
        </w:rPr>
      </w:pPr>
    </w:p>
    <w:p w14:paraId="1FE33E08" w14:textId="77777777" w:rsidR="00695A9D" w:rsidRDefault="00695A9D">
      <w:pPr>
        <w:pStyle w:val="BodyText"/>
        <w:rPr>
          <w:rFonts w:ascii="Times New Roman"/>
          <w:b/>
        </w:rPr>
        <w:sectPr w:rsidR="00695A9D">
          <w:pgSz w:w="12240" w:h="15840"/>
          <w:pgMar w:top="1500" w:right="1720" w:bottom="280" w:left="1720" w:header="720" w:footer="720" w:gutter="0"/>
          <w:cols w:space="720"/>
        </w:sectPr>
      </w:pPr>
    </w:p>
    <w:p w14:paraId="6BCF8482" w14:textId="77777777" w:rsidR="00A739ED" w:rsidRDefault="00A739ED">
      <w:pPr>
        <w:pStyle w:val="BodyText"/>
        <w:rPr>
          <w:rFonts w:ascii="Times New Roman"/>
          <w:b/>
        </w:rPr>
      </w:pPr>
    </w:p>
    <w:p w14:paraId="131B53A2" w14:textId="77777777" w:rsidR="00A739ED" w:rsidRDefault="00A739ED">
      <w:pPr>
        <w:pStyle w:val="BodyText"/>
        <w:rPr>
          <w:rFonts w:ascii="Times New Roman"/>
          <w:b/>
        </w:rPr>
      </w:pPr>
    </w:p>
    <w:p w14:paraId="1A64309E" w14:textId="77777777" w:rsidR="00A739ED" w:rsidRDefault="00A739ED">
      <w:pPr>
        <w:pStyle w:val="BodyText"/>
        <w:rPr>
          <w:rFonts w:ascii="Times New Roman"/>
          <w:b/>
        </w:rPr>
      </w:pPr>
    </w:p>
    <w:p w14:paraId="10A9CACF" w14:textId="77777777" w:rsidR="00A739ED" w:rsidRDefault="00A739ED">
      <w:pPr>
        <w:pStyle w:val="BodyText"/>
        <w:rPr>
          <w:rFonts w:ascii="Times New Roman"/>
          <w:b/>
        </w:rPr>
      </w:pPr>
    </w:p>
    <w:p w14:paraId="5CD61D85" w14:textId="77777777" w:rsidR="00A739ED" w:rsidRDefault="00A739ED">
      <w:pPr>
        <w:pStyle w:val="BodyText"/>
        <w:rPr>
          <w:rFonts w:ascii="Times New Roman"/>
          <w:b/>
        </w:rPr>
      </w:pPr>
    </w:p>
    <w:p w14:paraId="1D376B9C" w14:textId="77777777" w:rsidR="00A739ED" w:rsidRDefault="00A739ED">
      <w:pPr>
        <w:pStyle w:val="BodyText"/>
        <w:rPr>
          <w:rFonts w:ascii="Times New Roman"/>
          <w:b/>
        </w:rPr>
      </w:pPr>
    </w:p>
    <w:p w14:paraId="7227EF8C" w14:textId="77777777" w:rsidR="00A739ED" w:rsidRDefault="00A739ED">
      <w:pPr>
        <w:pStyle w:val="BodyText"/>
        <w:rPr>
          <w:rFonts w:ascii="Times New Roman"/>
          <w:b/>
        </w:rPr>
      </w:pPr>
    </w:p>
    <w:p w14:paraId="011DD0B0" w14:textId="77777777" w:rsidR="00A739ED" w:rsidRDefault="00A739ED">
      <w:pPr>
        <w:pStyle w:val="BodyText"/>
        <w:rPr>
          <w:rFonts w:ascii="Times New Roman"/>
          <w:b/>
        </w:rPr>
      </w:pPr>
    </w:p>
    <w:p w14:paraId="6FDBA91B" w14:textId="77777777" w:rsidR="00A739ED" w:rsidRDefault="00A739ED">
      <w:pPr>
        <w:pStyle w:val="BodyText"/>
        <w:rPr>
          <w:rFonts w:ascii="Times New Roman"/>
          <w:b/>
        </w:rPr>
      </w:pPr>
    </w:p>
    <w:p w14:paraId="58F3615A" w14:textId="77777777" w:rsidR="00A739ED" w:rsidRDefault="00A739ED">
      <w:pPr>
        <w:pStyle w:val="BodyText"/>
        <w:rPr>
          <w:rFonts w:ascii="Times New Roman"/>
          <w:b/>
        </w:rPr>
      </w:pPr>
    </w:p>
    <w:p w14:paraId="0BEA9855" w14:textId="77777777" w:rsidR="00A739ED" w:rsidRDefault="00A739ED">
      <w:pPr>
        <w:pStyle w:val="BodyText"/>
        <w:rPr>
          <w:rFonts w:ascii="Times New Roman"/>
          <w:b/>
        </w:rPr>
      </w:pPr>
    </w:p>
    <w:p w14:paraId="41E2B82A" w14:textId="77777777" w:rsidR="00A739ED" w:rsidRDefault="00A739ED">
      <w:pPr>
        <w:pStyle w:val="BodyText"/>
        <w:rPr>
          <w:rFonts w:ascii="Times New Roman"/>
          <w:b/>
        </w:rPr>
      </w:pPr>
    </w:p>
    <w:p w14:paraId="31C00172" w14:textId="77777777" w:rsidR="00A739ED" w:rsidRDefault="00A739ED">
      <w:pPr>
        <w:pStyle w:val="BodyText"/>
        <w:rPr>
          <w:rFonts w:ascii="Times New Roman"/>
          <w:b/>
        </w:rPr>
      </w:pPr>
    </w:p>
    <w:p w14:paraId="2E043241" w14:textId="77777777" w:rsidR="00A739ED" w:rsidRDefault="00A739ED">
      <w:pPr>
        <w:pStyle w:val="BodyText"/>
        <w:rPr>
          <w:rFonts w:ascii="Times New Roman"/>
          <w:b/>
        </w:rPr>
      </w:pPr>
    </w:p>
    <w:p w14:paraId="7208B829" w14:textId="77777777" w:rsidR="00A739ED" w:rsidRDefault="00A739ED">
      <w:pPr>
        <w:pStyle w:val="BodyText"/>
        <w:rPr>
          <w:rFonts w:ascii="Times New Roman"/>
          <w:b/>
        </w:rPr>
      </w:pPr>
    </w:p>
    <w:p w14:paraId="538DE0D9" w14:textId="77777777" w:rsidR="00A739ED" w:rsidRDefault="00A739ED">
      <w:pPr>
        <w:pStyle w:val="BodyText"/>
        <w:rPr>
          <w:rFonts w:ascii="Times New Roman"/>
          <w:b/>
        </w:rPr>
      </w:pPr>
    </w:p>
    <w:p w14:paraId="04F7CAAA" w14:textId="77777777" w:rsidR="00A739ED" w:rsidRDefault="00A739ED">
      <w:pPr>
        <w:pStyle w:val="BodyText"/>
        <w:rPr>
          <w:rFonts w:ascii="Times New Roman"/>
          <w:b/>
        </w:rPr>
      </w:pPr>
    </w:p>
    <w:p w14:paraId="31268977" w14:textId="77777777" w:rsidR="00A739ED" w:rsidRDefault="00A739ED">
      <w:pPr>
        <w:pStyle w:val="BodyText"/>
        <w:rPr>
          <w:rFonts w:ascii="Times New Roman"/>
          <w:b/>
        </w:rPr>
      </w:pPr>
    </w:p>
    <w:p w14:paraId="2E746C6E" w14:textId="77777777" w:rsidR="00A739ED" w:rsidRDefault="00A739ED">
      <w:pPr>
        <w:pStyle w:val="BodyText"/>
        <w:rPr>
          <w:rFonts w:ascii="Times New Roman"/>
          <w:b/>
        </w:rPr>
      </w:pPr>
    </w:p>
    <w:p w14:paraId="43707567" w14:textId="77777777" w:rsidR="00A739ED" w:rsidRDefault="00A739ED">
      <w:pPr>
        <w:pStyle w:val="BodyText"/>
        <w:rPr>
          <w:rFonts w:ascii="Times New Roman"/>
          <w:b/>
        </w:rPr>
      </w:pPr>
    </w:p>
    <w:p w14:paraId="4C54C829" w14:textId="77777777" w:rsidR="00A739ED" w:rsidRDefault="00A739ED">
      <w:pPr>
        <w:pStyle w:val="BodyText"/>
        <w:rPr>
          <w:rFonts w:ascii="Times New Roman"/>
          <w:b/>
        </w:rPr>
      </w:pPr>
    </w:p>
    <w:p w14:paraId="6B8F9B44" w14:textId="77777777" w:rsidR="00A739ED" w:rsidRDefault="00A739ED">
      <w:pPr>
        <w:pStyle w:val="BodyText"/>
        <w:rPr>
          <w:rFonts w:ascii="Times New Roman"/>
          <w:b/>
        </w:rPr>
      </w:pPr>
    </w:p>
    <w:p w14:paraId="7F447FC1" w14:textId="77777777" w:rsidR="00A739ED" w:rsidRDefault="00A739ED">
      <w:pPr>
        <w:pStyle w:val="BodyText"/>
        <w:rPr>
          <w:rFonts w:ascii="Times New Roman"/>
          <w:b/>
        </w:rPr>
      </w:pPr>
    </w:p>
    <w:p w14:paraId="01E5F94A" w14:textId="77777777" w:rsidR="00A739ED" w:rsidRDefault="00A739ED">
      <w:pPr>
        <w:pStyle w:val="BodyText"/>
        <w:rPr>
          <w:rFonts w:ascii="Times New Roman"/>
          <w:b/>
        </w:rPr>
      </w:pPr>
    </w:p>
    <w:p w14:paraId="6E994E31" w14:textId="77777777" w:rsidR="00A739ED" w:rsidRDefault="00A739ED">
      <w:pPr>
        <w:pStyle w:val="BodyText"/>
        <w:rPr>
          <w:rFonts w:ascii="Times New Roman"/>
          <w:b/>
        </w:rPr>
      </w:pPr>
    </w:p>
    <w:p w14:paraId="0A59A47E" w14:textId="77777777" w:rsidR="00A739ED" w:rsidRDefault="00A739ED">
      <w:pPr>
        <w:pStyle w:val="BodyText"/>
        <w:rPr>
          <w:rFonts w:ascii="Times New Roman"/>
          <w:b/>
        </w:rPr>
      </w:pPr>
    </w:p>
    <w:p w14:paraId="2C08358A" w14:textId="77777777" w:rsidR="00A739ED" w:rsidRDefault="00A739ED">
      <w:pPr>
        <w:pStyle w:val="BodyText"/>
        <w:rPr>
          <w:rFonts w:ascii="Times New Roman"/>
          <w:b/>
        </w:rPr>
      </w:pPr>
    </w:p>
    <w:p w14:paraId="51FAB8B6" w14:textId="77777777" w:rsidR="00A739ED" w:rsidRDefault="00A739ED">
      <w:pPr>
        <w:pStyle w:val="BodyText"/>
        <w:rPr>
          <w:rFonts w:ascii="Times New Roman"/>
          <w:b/>
        </w:rPr>
      </w:pPr>
    </w:p>
    <w:p w14:paraId="1A8D0632" w14:textId="77777777" w:rsidR="00A739ED" w:rsidRDefault="00A739ED">
      <w:pPr>
        <w:pStyle w:val="BodyText"/>
        <w:rPr>
          <w:rFonts w:ascii="Times New Roman"/>
          <w:b/>
        </w:rPr>
      </w:pPr>
    </w:p>
    <w:p w14:paraId="2F336B1B" w14:textId="77777777" w:rsidR="00A739ED" w:rsidRDefault="00A739ED">
      <w:pPr>
        <w:pStyle w:val="BodyText"/>
        <w:rPr>
          <w:rFonts w:ascii="Times New Roman"/>
          <w:b/>
        </w:rPr>
      </w:pPr>
    </w:p>
    <w:p w14:paraId="62A0B476" w14:textId="77777777" w:rsidR="00A739ED" w:rsidRDefault="00A739ED">
      <w:pPr>
        <w:pStyle w:val="BodyText"/>
        <w:rPr>
          <w:rFonts w:ascii="Times New Roman"/>
          <w:b/>
        </w:rPr>
      </w:pPr>
    </w:p>
    <w:p w14:paraId="4A3801E9" w14:textId="77777777" w:rsidR="00A739ED" w:rsidRDefault="00A739ED">
      <w:pPr>
        <w:pStyle w:val="BodyText"/>
        <w:rPr>
          <w:rFonts w:ascii="Times New Roman"/>
          <w:b/>
        </w:rPr>
      </w:pPr>
    </w:p>
    <w:p w14:paraId="61AE28D3" w14:textId="77777777" w:rsidR="00A739ED" w:rsidRDefault="00A739ED">
      <w:pPr>
        <w:pStyle w:val="BodyText"/>
        <w:rPr>
          <w:rFonts w:ascii="Times New Roman"/>
          <w:b/>
        </w:rPr>
      </w:pPr>
    </w:p>
    <w:p w14:paraId="7161170B" w14:textId="77777777" w:rsidR="00A739ED" w:rsidRDefault="00A739ED">
      <w:pPr>
        <w:pStyle w:val="BodyText"/>
        <w:rPr>
          <w:rFonts w:ascii="Times New Roman"/>
          <w:b/>
        </w:rPr>
      </w:pPr>
    </w:p>
    <w:p w14:paraId="34BDEC85" w14:textId="77777777" w:rsidR="00A739ED" w:rsidRDefault="00A739ED">
      <w:pPr>
        <w:pStyle w:val="BodyText"/>
        <w:rPr>
          <w:rFonts w:ascii="Times New Roman"/>
          <w:b/>
        </w:rPr>
      </w:pPr>
    </w:p>
    <w:p w14:paraId="752776F7" w14:textId="77777777" w:rsidR="00A739ED" w:rsidRDefault="00A739ED">
      <w:pPr>
        <w:pStyle w:val="BodyText"/>
        <w:rPr>
          <w:rFonts w:ascii="Times New Roman"/>
          <w:b/>
        </w:rPr>
      </w:pPr>
    </w:p>
    <w:p w14:paraId="060BDAF8" w14:textId="77777777" w:rsidR="00A739ED" w:rsidRDefault="00A739ED">
      <w:pPr>
        <w:pStyle w:val="BodyText"/>
        <w:rPr>
          <w:rFonts w:ascii="Times New Roman"/>
          <w:b/>
        </w:rPr>
      </w:pPr>
    </w:p>
    <w:p w14:paraId="0FDC0BAD" w14:textId="77777777" w:rsidR="00A739ED" w:rsidRDefault="00A739ED">
      <w:pPr>
        <w:pStyle w:val="BodyText"/>
        <w:rPr>
          <w:rFonts w:ascii="Times New Roman"/>
          <w:b/>
        </w:rPr>
      </w:pPr>
    </w:p>
    <w:p w14:paraId="07B8AC71" w14:textId="77777777" w:rsidR="00A739ED" w:rsidRDefault="00A739ED">
      <w:pPr>
        <w:pStyle w:val="BodyText"/>
        <w:rPr>
          <w:rFonts w:ascii="Times New Roman"/>
          <w:b/>
        </w:rPr>
      </w:pPr>
    </w:p>
    <w:p w14:paraId="52BC0E31" w14:textId="77777777" w:rsidR="00A739ED" w:rsidRDefault="00A739ED">
      <w:pPr>
        <w:pStyle w:val="BodyText"/>
        <w:rPr>
          <w:rFonts w:ascii="Times New Roman"/>
          <w:b/>
        </w:rPr>
      </w:pPr>
    </w:p>
    <w:p w14:paraId="13794EE9" w14:textId="77777777" w:rsidR="00A739ED" w:rsidRDefault="00A739ED">
      <w:pPr>
        <w:pStyle w:val="BodyText"/>
        <w:rPr>
          <w:rFonts w:ascii="Times New Roman"/>
          <w:b/>
        </w:rPr>
      </w:pPr>
    </w:p>
    <w:p w14:paraId="2FD503B5" w14:textId="77777777" w:rsidR="00A739ED" w:rsidRDefault="00A739ED">
      <w:pPr>
        <w:pStyle w:val="BodyText"/>
        <w:rPr>
          <w:rFonts w:ascii="Times New Roman"/>
          <w:b/>
        </w:rPr>
      </w:pPr>
    </w:p>
    <w:p w14:paraId="19FC0009" w14:textId="77777777" w:rsidR="00A739ED" w:rsidRDefault="00A739ED">
      <w:pPr>
        <w:pStyle w:val="BodyText"/>
        <w:rPr>
          <w:rFonts w:ascii="Times New Roman"/>
          <w:b/>
          <w:sz w:val="22"/>
        </w:rPr>
      </w:pPr>
    </w:p>
    <w:p w14:paraId="739A2578" w14:textId="77777777" w:rsidR="00A739ED" w:rsidRDefault="00A739ED">
      <w:pPr>
        <w:jc w:val="right"/>
        <w:sectPr w:rsidR="00A739ED">
          <w:pgSz w:w="12240" w:h="15840"/>
          <w:pgMar w:top="1500" w:right="1720" w:bottom="280" w:left="1720" w:header="720" w:footer="720" w:gutter="0"/>
          <w:cols w:space="720"/>
        </w:sectPr>
      </w:pPr>
    </w:p>
    <w:p w14:paraId="7B9C6261" w14:textId="77777777" w:rsidR="00A739ED" w:rsidRDefault="00742E33" w:rsidP="002B2CF9">
      <w:pPr>
        <w:pStyle w:val="Heading2"/>
        <w:tabs>
          <w:tab w:val="left" w:pos="8010"/>
        </w:tabs>
        <w:spacing w:before="75"/>
        <w:ind w:left="0"/>
      </w:pPr>
      <w:r>
        <w:rPr>
          <w:color w:val="8EB3E2"/>
        </w:rPr>
        <w:lastRenderedPageBreak/>
        <w:tab/>
      </w:r>
    </w:p>
    <w:p w14:paraId="397711C2" w14:textId="77777777" w:rsidR="00A739ED" w:rsidRPr="00B92A25" w:rsidRDefault="00742E33" w:rsidP="00BF67E2">
      <w:pPr>
        <w:pStyle w:val="Heading1"/>
        <w:spacing w:before="395"/>
        <w:ind w:left="0"/>
        <w:rPr>
          <w:rFonts w:cs="Arial"/>
          <w:color w:val="365F91" w:themeColor="accent1" w:themeShade="BF"/>
        </w:rPr>
      </w:pPr>
      <w:bookmarkStart w:id="0" w:name="_TOC_250002"/>
      <w:bookmarkEnd w:id="0"/>
      <w:r w:rsidRPr="00B92A25">
        <w:rPr>
          <w:rFonts w:cs="Arial"/>
          <w:color w:val="365F91" w:themeColor="accent1" w:themeShade="BF"/>
        </w:rPr>
        <w:t>Introduction</w:t>
      </w:r>
    </w:p>
    <w:p w14:paraId="27F11652" w14:textId="77777777" w:rsidR="00A739ED" w:rsidRPr="00BF67E2" w:rsidRDefault="00A739ED">
      <w:pPr>
        <w:pStyle w:val="BodyText"/>
        <w:rPr>
          <w:rFonts w:ascii="Cambria" w:hAnsi="Cambria"/>
          <w:b/>
          <w:sz w:val="22"/>
          <w:szCs w:val="22"/>
        </w:rPr>
      </w:pPr>
    </w:p>
    <w:p w14:paraId="66F20F45" w14:textId="77777777" w:rsidR="00A739ED" w:rsidRPr="00BF67E2" w:rsidRDefault="00A739ED">
      <w:pPr>
        <w:pStyle w:val="BodyText"/>
        <w:spacing w:before="6"/>
        <w:rPr>
          <w:rFonts w:ascii="Cambria" w:hAnsi="Cambria"/>
          <w:b/>
          <w:sz w:val="22"/>
          <w:szCs w:val="22"/>
        </w:rPr>
      </w:pPr>
    </w:p>
    <w:p w14:paraId="6F40AED8" w14:textId="77777777" w:rsidR="00A739ED" w:rsidRPr="00BF67E2" w:rsidRDefault="00742E33" w:rsidP="00BF67E2">
      <w:pPr>
        <w:pStyle w:val="Heading2"/>
        <w:spacing w:before="90" w:line="276" w:lineRule="auto"/>
        <w:ind w:left="0" w:right="949"/>
        <w:rPr>
          <w:rFonts w:ascii="Cambria" w:hAnsi="Cambria" w:cs="Arial"/>
          <w:sz w:val="22"/>
          <w:szCs w:val="22"/>
        </w:rPr>
      </w:pPr>
      <w:r w:rsidRPr="00BF67E2">
        <w:rPr>
          <w:rFonts w:ascii="Cambria" w:hAnsi="Cambria" w:cs="Arial"/>
          <w:sz w:val="22"/>
          <w:szCs w:val="22"/>
        </w:rPr>
        <w:t>Government</w:t>
      </w:r>
      <w:r w:rsidR="002B2CF9" w:rsidRPr="00BF67E2">
        <w:rPr>
          <w:rFonts w:ascii="Cambria" w:hAnsi="Cambria" w:cs="Arial"/>
          <w:sz w:val="22"/>
          <w:szCs w:val="22"/>
        </w:rPr>
        <w:t xml:space="preserve">al Accounting Standards Board </w:t>
      </w:r>
      <w:r w:rsidR="002B2CF9" w:rsidRPr="00551954">
        <w:rPr>
          <w:rFonts w:ascii="Cambria" w:hAnsi="Cambria" w:cs="Arial"/>
          <w:sz w:val="22"/>
          <w:szCs w:val="22"/>
        </w:rPr>
        <w:t>Statement No. 75</w:t>
      </w:r>
      <w:r w:rsidR="002B2CF9" w:rsidRPr="00BF67E2">
        <w:rPr>
          <w:rFonts w:ascii="Cambria" w:hAnsi="Cambria" w:cs="Arial"/>
          <w:sz w:val="22"/>
          <w:szCs w:val="22"/>
        </w:rPr>
        <w:t xml:space="preserve">, </w:t>
      </w:r>
      <w:r w:rsidR="002B2CF9" w:rsidRPr="00BF67E2">
        <w:rPr>
          <w:rFonts w:ascii="Cambria" w:hAnsi="Cambria" w:cs="Arial"/>
          <w:i/>
          <w:sz w:val="22"/>
          <w:szCs w:val="22"/>
        </w:rPr>
        <w:t xml:space="preserve">Accounting and Financial Reporting for Postemployment Benefits Other Than Pensions </w:t>
      </w:r>
      <w:r w:rsidR="002B2CF9" w:rsidRPr="00BF67E2">
        <w:rPr>
          <w:rFonts w:ascii="Cambria" w:hAnsi="Cambria" w:cs="Arial"/>
          <w:sz w:val="22"/>
          <w:szCs w:val="22"/>
        </w:rPr>
        <w:t xml:space="preserve">(GASB </w:t>
      </w:r>
      <w:r w:rsidR="00551954">
        <w:rPr>
          <w:rFonts w:ascii="Cambria" w:hAnsi="Cambria" w:cs="Arial"/>
          <w:sz w:val="22"/>
          <w:szCs w:val="22"/>
        </w:rPr>
        <w:t xml:space="preserve">No. </w:t>
      </w:r>
      <w:r w:rsidR="002B2CF9" w:rsidRPr="00BF67E2">
        <w:rPr>
          <w:rFonts w:ascii="Cambria" w:hAnsi="Cambria" w:cs="Arial"/>
          <w:sz w:val="22"/>
          <w:szCs w:val="22"/>
        </w:rPr>
        <w:t>75)</w:t>
      </w:r>
      <w:r w:rsidR="00551954">
        <w:rPr>
          <w:rFonts w:ascii="Cambria" w:hAnsi="Cambria" w:cs="Arial"/>
          <w:sz w:val="22"/>
          <w:szCs w:val="22"/>
        </w:rPr>
        <w:t xml:space="preserve"> is</w:t>
      </w:r>
      <w:r w:rsidR="002B2CF9" w:rsidRPr="00BF67E2">
        <w:rPr>
          <w:rFonts w:ascii="Cambria" w:hAnsi="Cambria" w:cs="Arial"/>
          <w:sz w:val="22"/>
          <w:szCs w:val="22"/>
        </w:rPr>
        <w:t xml:space="preserve"> effective </w:t>
      </w:r>
      <w:r w:rsidR="00551954">
        <w:rPr>
          <w:rFonts w:ascii="Cambria" w:hAnsi="Cambria" w:cs="Arial"/>
          <w:sz w:val="22"/>
          <w:szCs w:val="22"/>
        </w:rPr>
        <w:t xml:space="preserve">for employers that participate in </w:t>
      </w:r>
      <w:r w:rsidR="00551954" w:rsidRPr="00BF67E2">
        <w:rPr>
          <w:rFonts w:ascii="Cambria" w:hAnsi="Cambria" w:cs="Arial"/>
          <w:sz w:val="22"/>
          <w:szCs w:val="22"/>
        </w:rPr>
        <w:t xml:space="preserve">the </w:t>
      </w:r>
      <w:r w:rsidR="00551954">
        <w:rPr>
          <w:rFonts w:ascii="Cambria" w:hAnsi="Cambria" w:cs="Arial"/>
          <w:sz w:val="22"/>
          <w:szCs w:val="22"/>
        </w:rPr>
        <w:t xml:space="preserve">Retiree Health Care Fund administered by </w:t>
      </w:r>
      <w:r w:rsidR="00551954" w:rsidRPr="00BF67E2">
        <w:rPr>
          <w:rFonts w:ascii="Cambria" w:hAnsi="Cambria" w:cs="Arial"/>
          <w:sz w:val="22"/>
          <w:szCs w:val="22"/>
        </w:rPr>
        <w:t>New Mexico Retiree Health Care Authority (NMRHCA)</w:t>
      </w:r>
      <w:r w:rsidR="00551954">
        <w:rPr>
          <w:rFonts w:ascii="Cambria" w:hAnsi="Cambria" w:cs="Arial"/>
          <w:sz w:val="22"/>
          <w:szCs w:val="22"/>
        </w:rPr>
        <w:t xml:space="preserve"> for fiscal years beginning after </w:t>
      </w:r>
      <w:r w:rsidR="002B2CF9" w:rsidRPr="00BF67E2">
        <w:rPr>
          <w:rFonts w:ascii="Cambria" w:hAnsi="Cambria" w:cs="Arial"/>
          <w:sz w:val="22"/>
          <w:szCs w:val="22"/>
        </w:rPr>
        <w:t xml:space="preserve">June </w:t>
      </w:r>
      <w:r w:rsidR="00551954">
        <w:rPr>
          <w:rFonts w:ascii="Cambria" w:hAnsi="Cambria" w:cs="Arial"/>
          <w:sz w:val="22"/>
          <w:szCs w:val="22"/>
        </w:rPr>
        <w:t>15</w:t>
      </w:r>
      <w:r w:rsidR="002B2CF9" w:rsidRPr="00BF67E2">
        <w:rPr>
          <w:rFonts w:ascii="Cambria" w:hAnsi="Cambria" w:cs="Arial"/>
          <w:sz w:val="22"/>
          <w:szCs w:val="22"/>
        </w:rPr>
        <w:t>, 201</w:t>
      </w:r>
      <w:r w:rsidR="00551954">
        <w:rPr>
          <w:rFonts w:ascii="Cambria" w:hAnsi="Cambria" w:cs="Arial"/>
          <w:sz w:val="22"/>
          <w:szCs w:val="22"/>
        </w:rPr>
        <w:t xml:space="preserve">7. </w:t>
      </w:r>
      <w:r w:rsidRPr="00BF67E2">
        <w:rPr>
          <w:rFonts w:ascii="Cambria" w:hAnsi="Cambria" w:cs="Arial"/>
          <w:sz w:val="22"/>
          <w:szCs w:val="22"/>
        </w:rPr>
        <w:t xml:space="preserve">GASB </w:t>
      </w:r>
      <w:r w:rsidR="00551954">
        <w:rPr>
          <w:rFonts w:ascii="Cambria" w:hAnsi="Cambria" w:cs="Arial"/>
          <w:sz w:val="22"/>
          <w:szCs w:val="22"/>
        </w:rPr>
        <w:t xml:space="preserve">No. </w:t>
      </w:r>
      <w:r w:rsidRPr="00BF67E2">
        <w:rPr>
          <w:rFonts w:ascii="Cambria" w:hAnsi="Cambria" w:cs="Arial"/>
          <w:sz w:val="22"/>
          <w:szCs w:val="22"/>
        </w:rPr>
        <w:t xml:space="preserve">75 requires all participating employers in the Retiree Health Care Fund to recognize their portion of the </w:t>
      </w:r>
      <w:r w:rsidR="00551954">
        <w:rPr>
          <w:rFonts w:ascii="Cambria" w:hAnsi="Cambria" w:cs="Arial"/>
          <w:sz w:val="22"/>
          <w:szCs w:val="22"/>
        </w:rPr>
        <w:t>n</w:t>
      </w:r>
      <w:r w:rsidRPr="00BF67E2">
        <w:rPr>
          <w:rFonts w:ascii="Cambria" w:hAnsi="Cambria" w:cs="Arial"/>
          <w:sz w:val="22"/>
          <w:szCs w:val="22"/>
        </w:rPr>
        <w:t xml:space="preserve">et </w:t>
      </w:r>
      <w:r w:rsidR="00551954">
        <w:rPr>
          <w:rFonts w:ascii="Cambria" w:hAnsi="Cambria" w:cs="Arial"/>
          <w:sz w:val="22"/>
          <w:szCs w:val="22"/>
        </w:rPr>
        <w:t>o</w:t>
      </w:r>
      <w:r w:rsidR="005C29E3" w:rsidRPr="00BF67E2">
        <w:rPr>
          <w:rFonts w:ascii="Cambria" w:hAnsi="Cambria" w:cs="Arial"/>
          <w:sz w:val="22"/>
          <w:szCs w:val="22"/>
        </w:rPr>
        <w:t xml:space="preserve">ther </w:t>
      </w:r>
      <w:r w:rsidR="00551954">
        <w:rPr>
          <w:rFonts w:ascii="Cambria" w:hAnsi="Cambria" w:cs="Arial"/>
          <w:sz w:val="22"/>
          <w:szCs w:val="22"/>
        </w:rPr>
        <w:t>p</w:t>
      </w:r>
      <w:r w:rsidR="005C29E3" w:rsidRPr="00BF67E2">
        <w:rPr>
          <w:rFonts w:ascii="Cambria" w:hAnsi="Cambria" w:cs="Arial"/>
          <w:sz w:val="22"/>
          <w:szCs w:val="22"/>
        </w:rPr>
        <w:t>ost</w:t>
      </w:r>
      <w:r w:rsidR="00551954">
        <w:rPr>
          <w:rFonts w:ascii="Cambria" w:hAnsi="Cambria" w:cs="Arial"/>
          <w:sz w:val="22"/>
          <w:szCs w:val="22"/>
        </w:rPr>
        <w:t>e</w:t>
      </w:r>
      <w:r w:rsidR="005C29E3" w:rsidRPr="00BF67E2">
        <w:rPr>
          <w:rFonts w:ascii="Cambria" w:hAnsi="Cambria" w:cs="Arial"/>
          <w:sz w:val="22"/>
          <w:szCs w:val="22"/>
        </w:rPr>
        <w:t xml:space="preserve">mployment </w:t>
      </w:r>
      <w:r w:rsidR="00551954">
        <w:rPr>
          <w:rFonts w:ascii="Cambria" w:hAnsi="Cambria" w:cs="Arial"/>
          <w:sz w:val="22"/>
          <w:szCs w:val="22"/>
        </w:rPr>
        <w:t>b</w:t>
      </w:r>
      <w:r w:rsidR="005C29E3" w:rsidRPr="00BF67E2">
        <w:rPr>
          <w:rFonts w:ascii="Cambria" w:hAnsi="Cambria" w:cs="Arial"/>
          <w:sz w:val="22"/>
          <w:szCs w:val="22"/>
        </w:rPr>
        <w:t>enefits (OPEB)</w:t>
      </w:r>
      <w:r w:rsidRPr="00BF67E2">
        <w:rPr>
          <w:rFonts w:ascii="Cambria" w:hAnsi="Cambria" w:cs="Arial"/>
          <w:sz w:val="22"/>
          <w:szCs w:val="22"/>
        </w:rPr>
        <w:t xml:space="preserve"> </w:t>
      </w:r>
      <w:r w:rsidR="00551954">
        <w:rPr>
          <w:rFonts w:ascii="Cambria" w:hAnsi="Cambria" w:cs="Arial"/>
          <w:sz w:val="22"/>
          <w:szCs w:val="22"/>
        </w:rPr>
        <w:t>l</w:t>
      </w:r>
      <w:r w:rsidRPr="00BF67E2">
        <w:rPr>
          <w:rFonts w:ascii="Cambria" w:hAnsi="Cambria" w:cs="Arial"/>
          <w:sz w:val="22"/>
          <w:szCs w:val="22"/>
        </w:rPr>
        <w:t>iability</w:t>
      </w:r>
      <w:r w:rsidR="00551954">
        <w:rPr>
          <w:rFonts w:ascii="Cambria" w:hAnsi="Cambria" w:cs="Arial"/>
          <w:sz w:val="22"/>
          <w:szCs w:val="22"/>
        </w:rPr>
        <w:t xml:space="preserve">, deferred </w:t>
      </w:r>
      <w:proofErr w:type="gramStart"/>
      <w:r w:rsidR="00551954">
        <w:rPr>
          <w:rFonts w:ascii="Cambria" w:hAnsi="Cambria" w:cs="Arial"/>
          <w:sz w:val="22"/>
          <w:szCs w:val="22"/>
        </w:rPr>
        <w:t>inflows</w:t>
      </w:r>
      <w:proofErr w:type="gramEnd"/>
      <w:r w:rsidR="00551954">
        <w:rPr>
          <w:rFonts w:ascii="Cambria" w:hAnsi="Cambria" w:cs="Arial"/>
          <w:sz w:val="22"/>
          <w:szCs w:val="22"/>
        </w:rPr>
        <w:t xml:space="preserve"> and outflows of resources, and OPEB expense</w:t>
      </w:r>
      <w:r w:rsidRPr="00BF67E2">
        <w:rPr>
          <w:rFonts w:ascii="Cambria" w:hAnsi="Cambria" w:cs="Arial"/>
          <w:sz w:val="22"/>
          <w:szCs w:val="22"/>
        </w:rPr>
        <w:t xml:space="preserve">. </w:t>
      </w:r>
      <w:r w:rsidR="000D42EE" w:rsidRPr="00BF67E2">
        <w:rPr>
          <w:rFonts w:ascii="Cambria" w:hAnsi="Cambria" w:cs="Arial"/>
          <w:sz w:val="22"/>
          <w:szCs w:val="22"/>
        </w:rPr>
        <w:t xml:space="preserve">To assist the participating employers in recognizing these amounts, </w:t>
      </w:r>
      <w:r w:rsidR="00F25ECC" w:rsidRPr="00BF67E2">
        <w:rPr>
          <w:rFonts w:ascii="Cambria" w:hAnsi="Cambria" w:cs="Arial"/>
          <w:sz w:val="22"/>
          <w:szCs w:val="22"/>
        </w:rPr>
        <w:t>NM</w:t>
      </w:r>
      <w:r w:rsidR="000D42EE" w:rsidRPr="00BF67E2">
        <w:rPr>
          <w:rFonts w:ascii="Cambria" w:hAnsi="Cambria" w:cs="Arial"/>
          <w:sz w:val="22"/>
          <w:szCs w:val="22"/>
        </w:rPr>
        <w:t xml:space="preserve">RHCA published the audited </w:t>
      </w:r>
      <w:r w:rsidR="000D42EE" w:rsidRPr="00BF67E2">
        <w:rPr>
          <w:rFonts w:ascii="Cambria" w:hAnsi="Cambria" w:cs="Arial"/>
          <w:i/>
          <w:sz w:val="22"/>
          <w:szCs w:val="22"/>
        </w:rPr>
        <w:t xml:space="preserve">Schedules of Employer Allocations and OPEB Amounts by Employer </w:t>
      </w:r>
      <w:r w:rsidR="000D42EE" w:rsidRPr="00BF67E2">
        <w:rPr>
          <w:rFonts w:ascii="Cambria" w:hAnsi="Cambria" w:cs="Arial"/>
          <w:sz w:val="22"/>
          <w:szCs w:val="22"/>
        </w:rPr>
        <w:t>(</w:t>
      </w:r>
      <w:r w:rsidR="00DD13C5">
        <w:rPr>
          <w:rFonts w:ascii="Cambria" w:hAnsi="Cambria" w:cs="Arial"/>
          <w:sz w:val="22"/>
          <w:szCs w:val="22"/>
        </w:rPr>
        <w:t xml:space="preserve">the </w:t>
      </w:r>
      <w:r w:rsidR="000D42EE" w:rsidRPr="00BF67E2">
        <w:rPr>
          <w:rFonts w:ascii="Cambria" w:hAnsi="Cambria" w:cs="Arial"/>
          <w:sz w:val="22"/>
          <w:szCs w:val="22"/>
        </w:rPr>
        <w:t>Schedules),</w:t>
      </w:r>
      <w:r w:rsidR="00B779E7" w:rsidRPr="00BF67E2">
        <w:rPr>
          <w:rFonts w:ascii="Cambria" w:hAnsi="Cambria" w:cs="Arial"/>
          <w:sz w:val="22"/>
          <w:szCs w:val="22"/>
        </w:rPr>
        <w:t xml:space="preserve"> a </w:t>
      </w:r>
      <w:r w:rsidR="00551954">
        <w:rPr>
          <w:rFonts w:ascii="Cambria" w:hAnsi="Cambria" w:cs="Arial"/>
          <w:sz w:val="22"/>
          <w:szCs w:val="22"/>
        </w:rPr>
        <w:t>j</w:t>
      </w:r>
      <w:r w:rsidR="00B779E7" w:rsidRPr="00BF67E2">
        <w:rPr>
          <w:rFonts w:ascii="Cambria" w:hAnsi="Cambria" w:cs="Arial"/>
          <w:sz w:val="22"/>
          <w:szCs w:val="22"/>
        </w:rPr>
        <w:t xml:space="preserve">ournal </w:t>
      </w:r>
      <w:r w:rsidR="00551954">
        <w:rPr>
          <w:rFonts w:ascii="Cambria" w:hAnsi="Cambria" w:cs="Arial"/>
          <w:sz w:val="22"/>
          <w:szCs w:val="22"/>
        </w:rPr>
        <w:t>e</w:t>
      </w:r>
      <w:r w:rsidR="00B779E7" w:rsidRPr="00BF67E2">
        <w:rPr>
          <w:rFonts w:ascii="Cambria" w:hAnsi="Cambria" w:cs="Arial"/>
          <w:sz w:val="22"/>
          <w:szCs w:val="22"/>
        </w:rPr>
        <w:t xml:space="preserve">ntry </w:t>
      </w:r>
      <w:r w:rsidR="00551954">
        <w:rPr>
          <w:rFonts w:ascii="Cambria" w:hAnsi="Cambria" w:cs="Arial"/>
          <w:sz w:val="22"/>
          <w:szCs w:val="22"/>
        </w:rPr>
        <w:t>t</w:t>
      </w:r>
      <w:r w:rsidR="000D42EE" w:rsidRPr="00BF67E2">
        <w:rPr>
          <w:rFonts w:ascii="Cambria" w:hAnsi="Cambria" w:cs="Arial"/>
          <w:sz w:val="22"/>
          <w:szCs w:val="22"/>
        </w:rPr>
        <w:t xml:space="preserve">ool, and this </w:t>
      </w:r>
      <w:r w:rsidR="00DD13C5">
        <w:rPr>
          <w:rFonts w:ascii="Cambria" w:hAnsi="Cambria" w:cs="Arial"/>
          <w:sz w:val="22"/>
          <w:szCs w:val="22"/>
        </w:rPr>
        <w:t>user</w:t>
      </w:r>
      <w:r w:rsidR="000D42EE" w:rsidRPr="00BF67E2">
        <w:rPr>
          <w:rFonts w:ascii="Cambria" w:hAnsi="Cambria" w:cs="Arial"/>
          <w:sz w:val="22"/>
          <w:szCs w:val="22"/>
        </w:rPr>
        <w:t xml:space="preserve"> guide. </w:t>
      </w:r>
      <w:r w:rsidRPr="00BF67E2">
        <w:rPr>
          <w:rFonts w:ascii="Cambria" w:hAnsi="Cambria" w:cs="Arial"/>
          <w:sz w:val="22"/>
          <w:szCs w:val="22"/>
        </w:rPr>
        <w:t xml:space="preserve">This guide provides instructions for using the </w:t>
      </w:r>
      <w:r w:rsidR="00DD13C5">
        <w:rPr>
          <w:rFonts w:ascii="Cambria" w:hAnsi="Cambria" w:cs="Arial"/>
          <w:sz w:val="22"/>
          <w:szCs w:val="22"/>
        </w:rPr>
        <w:t>j</w:t>
      </w:r>
      <w:r w:rsidR="00B779E7" w:rsidRPr="00BF67E2">
        <w:rPr>
          <w:rFonts w:ascii="Cambria" w:hAnsi="Cambria" w:cs="Arial"/>
          <w:sz w:val="22"/>
          <w:szCs w:val="22"/>
        </w:rPr>
        <w:t xml:space="preserve">ournal </w:t>
      </w:r>
      <w:r w:rsidR="00DD13C5">
        <w:rPr>
          <w:rFonts w:ascii="Cambria" w:hAnsi="Cambria" w:cs="Arial"/>
          <w:sz w:val="22"/>
          <w:szCs w:val="22"/>
        </w:rPr>
        <w:t>e</w:t>
      </w:r>
      <w:r w:rsidR="00B779E7" w:rsidRPr="00BF67E2">
        <w:rPr>
          <w:rFonts w:ascii="Cambria" w:hAnsi="Cambria" w:cs="Arial"/>
          <w:sz w:val="22"/>
          <w:szCs w:val="22"/>
        </w:rPr>
        <w:t xml:space="preserve">ntry </w:t>
      </w:r>
      <w:r w:rsidR="00DD13C5">
        <w:rPr>
          <w:rFonts w:ascii="Cambria" w:hAnsi="Cambria" w:cs="Arial"/>
          <w:sz w:val="22"/>
          <w:szCs w:val="22"/>
        </w:rPr>
        <w:t>t</w:t>
      </w:r>
      <w:r w:rsidRPr="00BF67E2">
        <w:rPr>
          <w:rFonts w:ascii="Cambria" w:hAnsi="Cambria" w:cs="Arial"/>
          <w:sz w:val="22"/>
          <w:szCs w:val="22"/>
        </w:rPr>
        <w:t xml:space="preserve">ool and provides an example of a footnote disclosure. </w:t>
      </w:r>
    </w:p>
    <w:p w14:paraId="1F807A13" w14:textId="77777777" w:rsidR="005C29E3" w:rsidRPr="00BF67E2" w:rsidRDefault="005C29E3" w:rsidP="00BF67E2">
      <w:pPr>
        <w:pStyle w:val="Heading2"/>
        <w:spacing w:before="90" w:line="276" w:lineRule="auto"/>
        <w:ind w:left="0" w:right="949"/>
        <w:rPr>
          <w:rFonts w:ascii="Cambria" w:hAnsi="Cambria"/>
          <w:sz w:val="22"/>
          <w:szCs w:val="22"/>
        </w:rPr>
      </w:pPr>
    </w:p>
    <w:p w14:paraId="1ED7EA12" w14:textId="71462C10" w:rsidR="00A739ED" w:rsidRPr="00BF67E2" w:rsidRDefault="00742E33" w:rsidP="00BF67E2">
      <w:pPr>
        <w:pStyle w:val="Heading2"/>
        <w:spacing w:before="90" w:line="276" w:lineRule="auto"/>
        <w:ind w:left="0" w:right="949"/>
        <w:rPr>
          <w:rFonts w:ascii="Cambria" w:hAnsi="Cambria" w:cs="Arial"/>
          <w:sz w:val="22"/>
          <w:szCs w:val="22"/>
        </w:rPr>
      </w:pPr>
      <w:r w:rsidRPr="00BF67E2">
        <w:rPr>
          <w:rFonts w:ascii="Cambria" w:hAnsi="Cambria" w:cs="Arial"/>
          <w:sz w:val="22"/>
          <w:szCs w:val="22"/>
        </w:rPr>
        <w:t xml:space="preserve">The </w:t>
      </w:r>
      <w:r w:rsidR="005C29E3" w:rsidRPr="00BF67E2">
        <w:rPr>
          <w:rFonts w:ascii="Cambria" w:hAnsi="Cambria" w:cs="Arial"/>
          <w:sz w:val="22"/>
          <w:szCs w:val="22"/>
        </w:rPr>
        <w:t>journal entry tool</w:t>
      </w:r>
      <w:r w:rsidRPr="00BF67E2">
        <w:rPr>
          <w:rFonts w:ascii="Cambria" w:hAnsi="Cambria" w:cs="Arial"/>
          <w:sz w:val="22"/>
          <w:szCs w:val="22"/>
        </w:rPr>
        <w:t xml:space="preserve"> generates “model” journal entries based on the employer specific information shown in the schedules of employer allocations and </w:t>
      </w:r>
      <w:r w:rsidR="005C29E3" w:rsidRPr="00BF67E2">
        <w:rPr>
          <w:rFonts w:ascii="Cambria" w:hAnsi="Cambria" w:cs="Arial"/>
          <w:sz w:val="22"/>
          <w:szCs w:val="22"/>
        </w:rPr>
        <w:t>OPEB</w:t>
      </w:r>
      <w:r w:rsidRPr="00BF67E2">
        <w:rPr>
          <w:rFonts w:ascii="Cambria" w:hAnsi="Cambria" w:cs="Arial"/>
          <w:sz w:val="22"/>
          <w:szCs w:val="22"/>
        </w:rPr>
        <w:t xml:space="preserve"> amounts published annually by N</w:t>
      </w:r>
      <w:r w:rsidR="00DD13C5">
        <w:rPr>
          <w:rFonts w:ascii="Cambria" w:hAnsi="Cambria" w:cs="Arial"/>
          <w:sz w:val="22"/>
          <w:szCs w:val="22"/>
        </w:rPr>
        <w:t>M</w:t>
      </w:r>
      <w:r w:rsidR="005C29E3" w:rsidRPr="00BF67E2">
        <w:rPr>
          <w:rFonts w:ascii="Cambria" w:hAnsi="Cambria" w:cs="Arial"/>
          <w:sz w:val="22"/>
          <w:szCs w:val="22"/>
        </w:rPr>
        <w:t>RHCA.</w:t>
      </w:r>
      <w:r w:rsidRPr="00BF67E2">
        <w:rPr>
          <w:rFonts w:ascii="Cambria" w:hAnsi="Cambria" w:cs="Arial"/>
          <w:sz w:val="22"/>
          <w:szCs w:val="22"/>
        </w:rPr>
        <w:t xml:space="preserve"> To generate the journal entries, the tool requires </w:t>
      </w:r>
      <w:r w:rsidR="005C29E3" w:rsidRPr="00BF67E2">
        <w:rPr>
          <w:rFonts w:ascii="Cambria" w:hAnsi="Cambria" w:cs="Arial"/>
          <w:sz w:val="22"/>
          <w:szCs w:val="22"/>
        </w:rPr>
        <w:t xml:space="preserve">user to select </w:t>
      </w:r>
      <w:r w:rsidRPr="00BF67E2">
        <w:rPr>
          <w:rFonts w:ascii="Cambria" w:hAnsi="Cambria" w:cs="Arial"/>
          <w:sz w:val="22"/>
          <w:szCs w:val="22"/>
        </w:rPr>
        <w:t xml:space="preserve">a </w:t>
      </w:r>
      <w:r w:rsidR="005C29E3" w:rsidRPr="00BF67E2">
        <w:rPr>
          <w:rFonts w:ascii="Cambria" w:hAnsi="Cambria" w:cs="Arial"/>
          <w:sz w:val="22"/>
          <w:szCs w:val="22"/>
        </w:rPr>
        <w:t>participating employer</w:t>
      </w:r>
      <w:r w:rsidR="00CD7D51">
        <w:rPr>
          <w:rFonts w:ascii="Cambria" w:hAnsi="Cambria" w:cs="Arial"/>
          <w:sz w:val="22"/>
          <w:szCs w:val="22"/>
        </w:rPr>
        <w:t>,</w:t>
      </w:r>
      <w:r w:rsidR="005C29E3" w:rsidRPr="00BF67E2">
        <w:rPr>
          <w:rFonts w:ascii="Cambria" w:hAnsi="Cambria" w:cs="Arial"/>
          <w:sz w:val="22"/>
          <w:szCs w:val="22"/>
        </w:rPr>
        <w:t xml:space="preserve"> input contributions made after the measurement date</w:t>
      </w:r>
      <w:r w:rsidR="00CD7D51">
        <w:rPr>
          <w:rFonts w:ascii="Cambria" w:hAnsi="Cambria" w:cs="Arial"/>
          <w:sz w:val="22"/>
          <w:szCs w:val="22"/>
        </w:rPr>
        <w:t xml:space="preserve"> (</w:t>
      </w:r>
      <w:proofErr w:type="gramStart"/>
      <w:r w:rsidR="00CD7D51">
        <w:rPr>
          <w:rFonts w:ascii="Cambria" w:hAnsi="Cambria" w:cs="Arial"/>
          <w:sz w:val="22"/>
          <w:szCs w:val="22"/>
        </w:rPr>
        <w:t>i.e.</w:t>
      </w:r>
      <w:proofErr w:type="gramEnd"/>
      <w:r w:rsidR="00CD7D51">
        <w:rPr>
          <w:rFonts w:ascii="Cambria" w:hAnsi="Cambria" w:cs="Arial"/>
          <w:sz w:val="22"/>
          <w:szCs w:val="22"/>
        </w:rPr>
        <w:t xml:space="preserve"> contributions made from July 1, 20</w:t>
      </w:r>
      <w:r w:rsidR="00EA23F1">
        <w:rPr>
          <w:rFonts w:ascii="Cambria" w:hAnsi="Cambria" w:cs="Arial"/>
          <w:sz w:val="22"/>
          <w:szCs w:val="22"/>
        </w:rPr>
        <w:t>2</w:t>
      </w:r>
      <w:r w:rsidR="00EF06DE">
        <w:rPr>
          <w:rFonts w:ascii="Cambria" w:hAnsi="Cambria" w:cs="Arial"/>
          <w:sz w:val="22"/>
          <w:szCs w:val="22"/>
        </w:rPr>
        <w:t>3</w:t>
      </w:r>
      <w:r w:rsidR="00CD7D51">
        <w:rPr>
          <w:rFonts w:ascii="Cambria" w:hAnsi="Cambria" w:cs="Arial"/>
          <w:sz w:val="22"/>
          <w:szCs w:val="22"/>
        </w:rPr>
        <w:t xml:space="preserve"> to June 30, 2</w:t>
      </w:r>
      <w:r w:rsidR="00920DD5">
        <w:rPr>
          <w:rFonts w:ascii="Cambria" w:hAnsi="Cambria" w:cs="Arial"/>
          <w:sz w:val="22"/>
          <w:szCs w:val="22"/>
        </w:rPr>
        <w:t>02</w:t>
      </w:r>
      <w:r w:rsidR="00EF06DE">
        <w:rPr>
          <w:rFonts w:ascii="Cambria" w:hAnsi="Cambria" w:cs="Arial"/>
          <w:sz w:val="22"/>
          <w:szCs w:val="22"/>
        </w:rPr>
        <w:t>4</w:t>
      </w:r>
      <w:r w:rsidR="00CD7D51">
        <w:rPr>
          <w:rFonts w:ascii="Cambria" w:hAnsi="Cambria" w:cs="Arial"/>
          <w:sz w:val="22"/>
          <w:szCs w:val="22"/>
        </w:rPr>
        <w:t>)</w:t>
      </w:r>
      <w:r w:rsidR="00EA23F1">
        <w:rPr>
          <w:rFonts w:ascii="Cambria" w:hAnsi="Cambria" w:cs="Arial"/>
          <w:sz w:val="22"/>
          <w:szCs w:val="22"/>
        </w:rPr>
        <w:t xml:space="preserve"> with the related covered payroll</w:t>
      </w:r>
      <w:r w:rsidR="00CD7D51">
        <w:rPr>
          <w:rFonts w:ascii="Cambria" w:hAnsi="Cambria" w:cs="Arial"/>
          <w:sz w:val="22"/>
          <w:szCs w:val="22"/>
        </w:rPr>
        <w:t xml:space="preserve">, and input the contributions that were deferred last year as a deferred outflow (i.e. </w:t>
      </w:r>
      <w:r w:rsidR="00E70DA4">
        <w:rPr>
          <w:rFonts w:ascii="Cambria" w:hAnsi="Cambria" w:cs="Arial"/>
          <w:sz w:val="22"/>
          <w:szCs w:val="22"/>
        </w:rPr>
        <w:t>it</w:t>
      </w:r>
      <w:r w:rsidR="00CD7D51">
        <w:rPr>
          <w:rFonts w:ascii="Cambria" w:hAnsi="Cambria" w:cs="Arial"/>
          <w:sz w:val="22"/>
          <w:szCs w:val="22"/>
        </w:rPr>
        <w:t xml:space="preserve"> should be disclosed in the footnotes of each participating employer)</w:t>
      </w:r>
      <w:r w:rsidRPr="00BF67E2">
        <w:rPr>
          <w:rFonts w:ascii="Cambria" w:hAnsi="Cambria" w:cs="Arial"/>
          <w:sz w:val="22"/>
          <w:szCs w:val="22"/>
        </w:rPr>
        <w:t>. Once the journal entries are generated, an employer can use them as a model to prepare customized journal entries that are consistent with employer’s chart of accounts and accounting proc</w:t>
      </w:r>
      <w:r w:rsidR="000D42EE" w:rsidRPr="00BF67E2">
        <w:rPr>
          <w:rFonts w:ascii="Cambria" w:hAnsi="Cambria" w:cs="Arial"/>
          <w:sz w:val="22"/>
          <w:szCs w:val="22"/>
        </w:rPr>
        <w:t>esses. The tool also includes references to the Schedules</w:t>
      </w:r>
      <w:r w:rsidRPr="00BF67E2">
        <w:rPr>
          <w:rFonts w:ascii="Cambria" w:hAnsi="Cambria" w:cs="Arial"/>
          <w:sz w:val="22"/>
          <w:szCs w:val="22"/>
        </w:rPr>
        <w:t xml:space="preserve"> that can be used as an internal control aide to h</w:t>
      </w:r>
      <w:r w:rsidR="000D42EE" w:rsidRPr="00BF67E2">
        <w:rPr>
          <w:rFonts w:ascii="Cambria" w:hAnsi="Cambria" w:cs="Arial"/>
          <w:sz w:val="22"/>
          <w:szCs w:val="22"/>
        </w:rPr>
        <w:t>elp e</w:t>
      </w:r>
      <w:r w:rsidRPr="00BF67E2">
        <w:rPr>
          <w:rFonts w:ascii="Cambria" w:hAnsi="Cambria" w:cs="Arial"/>
          <w:sz w:val="22"/>
          <w:szCs w:val="22"/>
        </w:rPr>
        <w:t>nsure completeness and accuracy of the amounts to be recorded.</w:t>
      </w:r>
    </w:p>
    <w:p w14:paraId="5C3B6CBC" w14:textId="77777777" w:rsidR="005C29E3" w:rsidRPr="00BF67E2" w:rsidRDefault="005C29E3" w:rsidP="00BF67E2">
      <w:pPr>
        <w:pStyle w:val="Heading2"/>
        <w:spacing w:before="90" w:line="276" w:lineRule="auto"/>
        <w:ind w:left="0" w:right="949"/>
        <w:rPr>
          <w:rFonts w:ascii="Cambria" w:hAnsi="Cambria" w:cs="Arial"/>
          <w:sz w:val="22"/>
          <w:szCs w:val="22"/>
        </w:rPr>
      </w:pPr>
    </w:p>
    <w:p w14:paraId="6EC74AFA" w14:textId="77777777" w:rsidR="00A739ED" w:rsidRPr="00BF67E2" w:rsidRDefault="00742E33" w:rsidP="00BF67E2">
      <w:pPr>
        <w:pStyle w:val="Heading2"/>
        <w:spacing w:before="90" w:line="276" w:lineRule="auto"/>
        <w:ind w:left="0" w:right="949"/>
        <w:rPr>
          <w:rFonts w:ascii="Cambria" w:hAnsi="Cambria" w:cs="Arial"/>
          <w:sz w:val="22"/>
          <w:szCs w:val="22"/>
        </w:rPr>
      </w:pPr>
      <w:r w:rsidRPr="00BF67E2">
        <w:rPr>
          <w:rFonts w:ascii="Cambria" w:hAnsi="Cambria" w:cs="Arial"/>
          <w:sz w:val="22"/>
          <w:szCs w:val="22"/>
        </w:rPr>
        <w:t xml:space="preserve">The </w:t>
      </w:r>
      <w:r w:rsidR="00DD13C5">
        <w:rPr>
          <w:rFonts w:ascii="Cambria" w:hAnsi="Cambria" w:cs="Arial"/>
          <w:sz w:val="22"/>
          <w:szCs w:val="22"/>
        </w:rPr>
        <w:t>n</w:t>
      </w:r>
      <w:r w:rsidRPr="00BF67E2">
        <w:rPr>
          <w:rFonts w:ascii="Cambria" w:hAnsi="Cambria" w:cs="Arial"/>
          <w:sz w:val="22"/>
          <w:szCs w:val="22"/>
        </w:rPr>
        <w:t>otes</w:t>
      </w:r>
      <w:r w:rsidR="00DD13C5">
        <w:rPr>
          <w:rFonts w:ascii="Cambria" w:hAnsi="Cambria" w:cs="Arial"/>
          <w:sz w:val="22"/>
          <w:szCs w:val="22"/>
        </w:rPr>
        <w:t xml:space="preserve"> and required supplementary information (R</w:t>
      </w:r>
      <w:r w:rsidRPr="00BF67E2">
        <w:rPr>
          <w:rFonts w:ascii="Cambria" w:hAnsi="Cambria" w:cs="Arial"/>
          <w:sz w:val="22"/>
          <w:szCs w:val="22"/>
        </w:rPr>
        <w:t>SI</w:t>
      </w:r>
      <w:r w:rsidR="00DD13C5">
        <w:rPr>
          <w:rFonts w:ascii="Cambria" w:hAnsi="Cambria" w:cs="Arial"/>
          <w:sz w:val="22"/>
          <w:szCs w:val="22"/>
        </w:rPr>
        <w:t>)</w:t>
      </w:r>
      <w:r w:rsidRPr="00BF67E2">
        <w:rPr>
          <w:rFonts w:ascii="Cambria" w:hAnsi="Cambria" w:cs="Arial"/>
          <w:sz w:val="22"/>
          <w:szCs w:val="22"/>
        </w:rPr>
        <w:t xml:space="preserve"> </w:t>
      </w:r>
      <w:r w:rsidR="00DD13C5">
        <w:rPr>
          <w:rFonts w:ascii="Cambria" w:hAnsi="Cambria" w:cs="Arial"/>
          <w:sz w:val="22"/>
          <w:szCs w:val="22"/>
        </w:rPr>
        <w:t>t</w:t>
      </w:r>
      <w:r w:rsidRPr="00BF67E2">
        <w:rPr>
          <w:rFonts w:ascii="Cambria" w:hAnsi="Cambria" w:cs="Arial"/>
          <w:sz w:val="22"/>
          <w:szCs w:val="22"/>
        </w:rPr>
        <w:t xml:space="preserve">emplate provide sample </w:t>
      </w:r>
      <w:r w:rsidR="000D42EE" w:rsidRPr="00BF67E2">
        <w:rPr>
          <w:rFonts w:ascii="Cambria" w:hAnsi="Cambria" w:cs="Arial"/>
          <w:sz w:val="22"/>
          <w:szCs w:val="22"/>
        </w:rPr>
        <w:t>OPEB</w:t>
      </w:r>
      <w:r w:rsidR="00446993">
        <w:rPr>
          <w:rFonts w:ascii="Cambria" w:hAnsi="Cambria" w:cs="Arial"/>
          <w:sz w:val="22"/>
          <w:szCs w:val="22"/>
        </w:rPr>
        <w:t>-</w:t>
      </w:r>
      <w:r w:rsidRPr="00BF67E2">
        <w:rPr>
          <w:rFonts w:ascii="Cambria" w:hAnsi="Cambria" w:cs="Arial"/>
          <w:sz w:val="22"/>
          <w:szCs w:val="22"/>
        </w:rPr>
        <w:t xml:space="preserve">related financial statement notes and </w:t>
      </w:r>
      <w:r w:rsidR="00DD13C5">
        <w:rPr>
          <w:rFonts w:ascii="Cambria" w:hAnsi="Cambria" w:cs="Arial"/>
          <w:sz w:val="22"/>
          <w:szCs w:val="22"/>
        </w:rPr>
        <w:t>RSI</w:t>
      </w:r>
      <w:r w:rsidRPr="00BF67E2">
        <w:rPr>
          <w:rFonts w:ascii="Cambria" w:hAnsi="Cambria" w:cs="Arial"/>
          <w:sz w:val="22"/>
          <w:szCs w:val="22"/>
        </w:rPr>
        <w:t xml:space="preserve"> schedules. The template includes the disclosures generally applicable to all participating employers. Employer specific information is highlighted, so that it can be added by the employer using the template. Next to each highlight are instructions on where to find the information. The template also includes templates for the required supplementary information schedules (and related notes), and where to find the employer</w:t>
      </w:r>
      <w:r w:rsidR="00573B4F">
        <w:rPr>
          <w:rFonts w:ascii="Cambria" w:hAnsi="Cambria" w:cs="Arial"/>
          <w:sz w:val="22"/>
          <w:szCs w:val="22"/>
        </w:rPr>
        <w:t>-</w:t>
      </w:r>
      <w:r w:rsidRPr="00BF67E2">
        <w:rPr>
          <w:rFonts w:ascii="Cambria" w:hAnsi="Cambria" w:cs="Arial"/>
          <w:sz w:val="22"/>
          <w:szCs w:val="22"/>
        </w:rPr>
        <w:t>specific information for the</w:t>
      </w:r>
      <w:r w:rsidR="00A22CFB">
        <w:rPr>
          <w:rFonts w:ascii="Cambria" w:hAnsi="Cambria" w:cs="Arial"/>
          <w:sz w:val="22"/>
          <w:szCs w:val="22"/>
        </w:rPr>
        <w:t xml:space="preserve"> template</w:t>
      </w:r>
      <w:r w:rsidRPr="00BF67E2">
        <w:rPr>
          <w:rFonts w:ascii="Cambria" w:hAnsi="Cambria" w:cs="Arial"/>
          <w:sz w:val="22"/>
          <w:szCs w:val="22"/>
        </w:rPr>
        <w:t>.</w:t>
      </w:r>
    </w:p>
    <w:p w14:paraId="6E943B20" w14:textId="77777777" w:rsidR="005C29E3" w:rsidRPr="00BF67E2" w:rsidRDefault="005C29E3" w:rsidP="00BF67E2">
      <w:pPr>
        <w:pStyle w:val="Heading2"/>
        <w:spacing w:before="90" w:line="276" w:lineRule="auto"/>
        <w:ind w:left="0" w:right="949"/>
        <w:rPr>
          <w:rFonts w:ascii="Cambria" w:hAnsi="Cambria" w:cs="Arial"/>
          <w:sz w:val="22"/>
          <w:szCs w:val="22"/>
        </w:rPr>
      </w:pPr>
    </w:p>
    <w:p w14:paraId="47AD2074" w14:textId="1C0F16B3" w:rsidR="00A739ED" w:rsidRPr="00BF67E2" w:rsidRDefault="00742E33" w:rsidP="00BF67E2">
      <w:pPr>
        <w:pStyle w:val="Heading2"/>
        <w:spacing w:before="90" w:line="276" w:lineRule="auto"/>
        <w:ind w:left="0" w:right="949"/>
        <w:rPr>
          <w:rFonts w:ascii="Cambria" w:hAnsi="Cambria"/>
          <w:sz w:val="22"/>
          <w:szCs w:val="22"/>
        </w:rPr>
      </w:pPr>
      <w:r w:rsidRPr="00797AF4">
        <w:rPr>
          <w:rFonts w:ascii="Cambria" w:hAnsi="Cambria" w:cs="Arial"/>
          <w:sz w:val="22"/>
          <w:szCs w:val="22"/>
        </w:rPr>
        <w:t>Before proceeding, if y</w:t>
      </w:r>
      <w:r w:rsidR="000D42EE" w:rsidRPr="00797AF4">
        <w:rPr>
          <w:rFonts w:ascii="Cambria" w:hAnsi="Cambria" w:cs="Arial"/>
          <w:sz w:val="22"/>
          <w:szCs w:val="22"/>
        </w:rPr>
        <w:t xml:space="preserve">ou are not familiar with GASB </w:t>
      </w:r>
      <w:r w:rsidR="00DD13C5" w:rsidRPr="00797AF4">
        <w:rPr>
          <w:rFonts w:ascii="Cambria" w:hAnsi="Cambria" w:cs="Arial"/>
          <w:sz w:val="22"/>
          <w:szCs w:val="22"/>
        </w:rPr>
        <w:t xml:space="preserve">No. </w:t>
      </w:r>
      <w:r w:rsidR="000D42EE" w:rsidRPr="00797AF4">
        <w:rPr>
          <w:rFonts w:ascii="Cambria" w:hAnsi="Cambria" w:cs="Arial"/>
          <w:sz w:val="22"/>
          <w:szCs w:val="22"/>
        </w:rPr>
        <w:t>75</w:t>
      </w:r>
      <w:r w:rsidRPr="00797AF4">
        <w:rPr>
          <w:rFonts w:ascii="Cambria" w:hAnsi="Cambria" w:cs="Arial"/>
          <w:sz w:val="22"/>
          <w:szCs w:val="22"/>
        </w:rPr>
        <w:t>, we suggest you first read</w:t>
      </w:r>
      <w:r w:rsidR="000D42EE" w:rsidRPr="00797AF4">
        <w:rPr>
          <w:rFonts w:ascii="Cambria" w:hAnsi="Cambria" w:cs="Arial"/>
          <w:sz w:val="22"/>
          <w:szCs w:val="22"/>
        </w:rPr>
        <w:t xml:space="preserve"> the standard as published by the GASB</w:t>
      </w:r>
      <w:r w:rsidR="005C29E3" w:rsidRPr="00797AF4">
        <w:rPr>
          <w:rFonts w:ascii="Cambria" w:hAnsi="Cambria" w:cs="Arial"/>
          <w:sz w:val="22"/>
          <w:szCs w:val="22"/>
        </w:rPr>
        <w:t>.</w:t>
      </w:r>
      <w:r w:rsidR="00A57523" w:rsidRPr="00797AF4">
        <w:rPr>
          <w:rFonts w:ascii="Cambria" w:hAnsi="Cambria" w:cs="Arial"/>
          <w:sz w:val="22"/>
          <w:szCs w:val="22"/>
        </w:rPr>
        <w:t xml:space="preserve"> </w:t>
      </w:r>
    </w:p>
    <w:p w14:paraId="57C2D649" w14:textId="77777777" w:rsidR="00A739ED" w:rsidRPr="00BF67E2" w:rsidRDefault="00A739ED" w:rsidP="00BF67E2">
      <w:pPr>
        <w:pStyle w:val="BodyText"/>
        <w:rPr>
          <w:rFonts w:ascii="Cambria" w:hAnsi="Cambria"/>
          <w:sz w:val="22"/>
          <w:szCs w:val="22"/>
        </w:rPr>
      </w:pPr>
    </w:p>
    <w:p w14:paraId="68A387AF" w14:textId="77777777" w:rsidR="00654859" w:rsidRDefault="00654859">
      <w:pPr>
        <w:rPr>
          <w:rFonts w:ascii="Cambria" w:hAnsi="Cambria"/>
          <w:sz w:val="20"/>
          <w:szCs w:val="20"/>
        </w:rPr>
      </w:pPr>
      <w:r>
        <w:rPr>
          <w:rFonts w:ascii="Cambria" w:hAnsi="Cambria"/>
        </w:rPr>
        <w:br w:type="page"/>
      </w:r>
    </w:p>
    <w:p w14:paraId="64992441" w14:textId="77777777" w:rsidR="00A739ED" w:rsidRPr="00697084" w:rsidRDefault="00A57523" w:rsidP="000D42EE">
      <w:pPr>
        <w:pStyle w:val="BodyText"/>
        <w:spacing w:before="4"/>
        <w:rPr>
          <w:rFonts w:ascii="Cambria" w:eastAsia="Cambria" w:hAnsi="Cambria"/>
          <w:b/>
          <w:bCs/>
          <w:color w:val="365F91" w:themeColor="accent1" w:themeShade="BF"/>
          <w:sz w:val="28"/>
          <w:szCs w:val="28"/>
        </w:rPr>
      </w:pPr>
      <w:bookmarkStart w:id="1" w:name="_TOC_250001"/>
      <w:bookmarkEnd w:id="1"/>
      <w:r w:rsidRPr="00697084">
        <w:rPr>
          <w:rFonts w:ascii="Cambria" w:eastAsia="Cambria" w:hAnsi="Cambria"/>
          <w:b/>
          <w:bCs/>
          <w:color w:val="365F91" w:themeColor="accent1" w:themeShade="BF"/>
          <w:sz w:val="28"/>
          <w:szCs w:val="28"/>
        </w:rPr>
        <w:lastRenderedPageBreak/>
        <w:t xml:space="preserve">Section 1: GASB </w:t>
      </w:r>
      <w:r w:rsidR="00654859">
        <w:rPr>
          <w:rFonts w:ascii="Cambria" w:eastAsia="Cambria" w:hAnsi="Cambria"/>
          <w:b/>
          <w:bCs/>
          <w:color w:val="365F91" w:themeColor="accent1" w:themeShade="BF"/>
          <w:sz w:val="28"/>
          <w:szCs w:val="28"/>
        </w:rPr>
        <w:t xml:space="preserve">No. </w:t>
      </w:r>
      <w:r w:rsidRPr="00697084">
        <w:rPr>
          <w:rFonts w:ascii="Cambria" w:eastAsia="Cambria" w:hAnsi="Cambria"/>
          <w:b/>
          <w:bCs/>
          <w:color w:val="365F91" w:themeColor="accent1" w:themeShade="BF"/>
          <w:sz w:val="28"/>
          <w:szCs w:val="28"/>
        </w:rPr>
        <w:t>75</w:t>
      </w:r>
      <w:r w:rsidR="00742E33" w:rsidRPr="00697084">
        <w:rPr>
          <w:rFonts w:ascii="Cambria" w:eastAsia="Cambria" w:hAnsi="Cambria"/>
          <w:b/>
          <w:bCs/>
          <w:color w:val="365F91" w:themeColor="accent1" w:themeShade="BF"/>
          <w:sz w:val="28"/>
          <w:szCs w:val="28"/>
        </w:rPr>
        <w:t xml:space="preserve"> Requirements and Journal Entry Tool</w:t>
      </w:r>
    </w:p>
    <w:p w14:paraId="6210D017" w14:textId="77777777" w:rsidR="00A739ED" w:rsidRPr="007B2894" w:rsidRDefault="00A739ED">
      <w:pPr>
        <w:pStyle w:val="BodyText"/>
        <w:spacing w:before="10"/>
        <w:rPr>
          <w:rFonts w:ascii="Cambria" w:hAnsi="Cambria"/>
          <w:b/>
          <w:sz w:val="22"/>
          <w:szCs w:val="22"/>
        </w:rPr>
      </w:pPr>
    </w:p>
    <w:p w14:paraId="3A0BF393" w14:textId="77777777" w:rsidR="0014199C" w:rsidRDefault="00A57523" w:rsidP="00B779E7">
      <w:pPr>
        <w:pStyle w:val="Heading2"/>
        <w:spacing w:line="448" w:lineRule="auto"/>
        <w:ind w:left="260" w:right="2080" w:hanging="120"/>
        <w:rPr>
          <w:rFonts w:ascii="Cambria" w:hAnsi="Cambria" w:cs="Arial"/>
          <w:sz w:val="22"/>
          <w:szCs w:val="22"/>
        </w:rPr>
      </w:pPr>
      <w:r w:rsidRPr="007B2894">
        <w:rPr>
          <w:rFonts w:ascii="Cambria" w:hAnsi="Cambria" w:cs="Arial"/>
          <w:sz w:val="22"/>
          <w:szCs w:val="22"/>
        </w:rPr>
        <w:t xml:space="preserve">GASB </w:t>
      </w:r>
      <w:r w:rsidR="0014199C">
        <w:rPr>
          <w:rFonts w:ascii="Cambria" w:hAnsi="Cambria" w:cs="Arial"/>
          <w:sz w:val="22"/>
          <w:szCs w:val="22"/>
        </w:rPr>
        <w:t xml:space="preserve">No. </w:t>
      </w:r>
      <w:r w:rsidRPr="007B2894">
        <w:rPr>
          <w:rFonts w:ascii="Cambria" w:hAnsi="Cambria" w:cs="Arial"/>
          <w:sz w:val="22"/>
          <w:szCs w:val="22"/>
        </w:rPr>
        <w:t>75</w:t>
      </w:r>
      <w:r w:rsidR="00742E33" w:rsidRPr="007B2894">
        <w:rPr>
          <w:rFonts w:ascii="Cambria" w:hAnsi="Cambria" w:cs="Arial"/>
          <w:sz w:val="22"/>
          <w:szCs w:val="22"/>
        </w:rPr>
        <w:t xml:space="preserve"> requires employer</w:t>
      </w:r>
      <w:r w:rsidR="0014199C">
        <w:rPr>
          <w:rFonts w:ascii="Cambria" w:hAnsi="Cambria" w:cs="Arial"/>
          <w:sz w:val="22"/>
          <w:szCs w:val="22"/>
        </w:rPr>
        <w:t>s</w:t>
      </w:r>
      <w:r w:rsidR="00742E33" w:rsidRPr="007B2894">
        <w:rPr>
          <w:rFonts w:ascii="Cambria" w:hAnsi="Cambria" w:cs="Arial"/>
          <w:sz w:val="22"/>
          <w:szCs w:val="22"/>
        </w:rPr>
        <w:t xml:space="preserve"> to r</w:t>
      </w:r>
      <w:r w:rsidR="00B779E7" w:rsidRPr="007B2894">
        <w:rPr>
          <w:rFonts w:ascii="Cambria" w:hAnsi="Cambria" w:cs="Arial"/>
          <w:sz w:val="22"/>
          <w:szCs w:val="22"/>
        </w:rPr>
        <w:t>e</w:t>
      </w:r>
      <w:r w:rsidR="0014199C">
        <w:rPr>
          <w:rFonts w:ascii="Cambria" w:hAnsi="Cambria" w:cs="Arial"/>
          <w:sz w:val="22"/>
          <w:szCs w:val="22"/>
        </w:rPr>
        <w:t>port</w:t>
      </w:r>
      <w:r w:rsidR="00B779E7" w:rsidRPr="007B2894">
        <w:rPr>
          <w:rFonts w:ascii="Cambria" w:hAnsi="Cambria" w:cs="Arial"/>
          <w:sz w:val="22"/>
          <w:szCs w:val="22"/>
        </w:rPr>
        <w:t xml:space="preserve"> the following</w:t>
      </w:r>
      <w:r w:rsidR="0014199C">
        <w:rPr>
          <w:rFonts w:ascii="Cambria" w:hAnsi="Cambria" w:cs="Arial"/>
          <w:sz w:val="22"/>
          <w:szCs w:val="22"/>
        </w:rPr>
        <w:t xml:space="preserve"> balances</w:t>
      </w:r>
      <w:r w:rsidR="00B779E7" w:rsidRPr="007B2894">
        <w:rPr>
          <w:rFonts w:ascii="Cambria" w:hAnsi="Cambria" w:cs="Arial"/>
          <w:sz w:val="22"/>
          <w:szCs w:val="22"/>
        </w:rPr>
        <w:t xml:space="preserve">: </w:t>
      </w:r>
    </w:p>
    <w:p w14:paraId="778C137C" w14:textId="77777777" w:rsidR="00A739ED" w:rsidRPr="007B2894" w:rsidRDefault="00B779E7" w:rsidP="0014199C">
      <w:pPr>
        <w:pStyle w:val="Heading2"/>
        <w:spacing w:line="360" w:lineRule="auto"/>
        <w:ind w:left="259" w:right="2074" w:hanging="115"/>
        <w:rPr>
          <w:rFonts w:ascii="Cambria" w:hAnsi="Cambria" w:cs="Arial"/>
          <w:sz w:val="22"/>
          <w:szCs w:val="22"/>
        </w:rPr>
      </w:pPr>
      <w:r w:rsidRPr="007B2894">
        <w:rPr>
          <w:rFonts w:ascii="Cambria" w:hAnsi="Cambria" w:cs="Arial"/>
          <w:sz w:val="22"/>
          <w:szCs w:val="22"/>
        </w:rPr>
        <w:t xml:space="preserve">The </w:t>
      </w:r>
      <w:r w:rsidR="00742E33" w:rsidRPr="007B2894">
        <w:rPr>
          <w:rFonts w:ascii="Cambria" w:hAnsi="Cambria" w:cs="Arial"/>
          <w:sz w:val="22"/>
          <w:szCs w:val="22"/>
        </w:rPr>
        <w:t>employer’s–</w:t>
      </w:r>
    </w:p>
    <w:p w14:paraId="53D46805" w14:textId="77777777" w:rsidR="00B779E7" w:rsidRPr="007B2894" w:rsidRDefault="00B779E7">
      <w:pPr>
        <w:pStyle w:val="Heading2"/>
        <w:numPr>
          <w:ilvl w:val="0"/>
          <w:numId w:val="3"/>
        </w:numPr>
        <w:tabs>
          <w:tab w:val="left" w:pos="859"/>
          <w:tab w:val="left" w:pos="860"/>
        </w:tabs>
        <w:spacing w:before="9"/>
        <w:rPr>
          <w:rFonts w:ascii="Cambria" w:hAnsi="Cambria" w:cs="Arial"/>
          <w:sz w:val="22"/>
          <w:szCs w:val="22"/>
        </w:rPr>
      </w:pPr>
      <w:r w:rsidRPr="007B2894">
        <w:rPr>
          <w:rFonts w:ascii="Cambria" w:hAnsi="Cambria" w:cs="Arial"/>
          <w:sz w:val="22"/>
          <w:szCs w:val="22"/>
        </w:rPr>
        <w:t xml:space="preserve">Proportionate share of the </w:t>
      </w:r>
      <w:r w:rsidR="0014199C">
        <w:rPr>
          <w:rFonts w:ascii="Cambria" w:hAnsi="Cambria" w:cs="Arial"/>
          <w:sz w:val="22"/>
          <w:szCs w:val="22"/>
        </w:rPr>
        <w:t>n</w:t>
      </w:r>
      <w:r w:rsidRPr="007B2894">
        <w:rPr>
          <w:rFonts w:ascii="Cambria" w:hAnsi="Cambria" w:cs="Arial"/>
          <w:sz w:val="22"/>
          <w:szCs w:val="22"/>
        </w:rPr>
        <w:t xml:space="preserve">et OPEB </w:t>
      </w:r>
      <w:r w:rsidR="0014199C">
        <w:rPr>
          <w:rFonts w:ascii="Cambria" w:hAnsi="Cambria" w:cs="Arial"/>
          <w:sz w:val="22"/>
          <w:szCs w:val="22"/>
        </w:rPr>
        <w:t>l</w:t>
      </w:r>
      <w:r w:rsidRPr="007B2894">
        <w:rPr>
          <w:rFonts w:ascii="Cambria" w:hAnsi="Cambria" w:cs="Arial"/>
          <w:sz w:val="22"/>
          <w:szCs w:val="22"/>
        </w:rPr>
        <w:t>iability at the end of the year.</w:t>
      </w:r>
    </w:p>
    <w:p w14:paraId="16A757EB" w14:textId="304A054E" w:rsidR="00A739ED" w:rsidRPr="007B2894" w:rsidRDefault="00742E33">
      <w:pPr>
        <w:pStyle w:val="Heading2"/>
        <w:numPr>
          <w:ilvl w:val="0"/>
          <w:numId w:val="3"/>
        </w:numPr>
        <w:tabs>
          <w:tab w:val="left" w:pos="859"/>
          <w:tab w:val="left" w:pos="860"/>
        </w:tabs>
        <w:spacing w:before="9"/>
        <w:rPr>
          <w:rFonts w:ascii="Cambria" w:hAnsi="Cambria" w:cs="Arial"/>
          <w:sz w:val="22"/>
          <w:szCs w:val="22"/>
        </w:rPr>
      </w:pPr>
      <w:r w:rsidRPr="007B2894">
        <w:rPr>
          <w:rFonts w:ascii="Cambria" w:hAnsi="Cambria" w:cs="Arial"/>
          <w:sz w:val="22"/>
          <w:szCs w:val="22"/>
        </w:rPr>
        <w:t xml:space="preserve">Proportionate share of the change in collective deferred outflows </w:t>
      </w:r>
      <w:proofErr w:type="gramStart"/>
      <w:r w:rsidRPr="007B2894">
        <w:rPr>
          <w:rFonts w:ascii="Cambria" w:hAnsi="Cambria" w:cs="Arial"/>
          <w:sz w:val="22"/>
          <w:szCs w:val="22"/>
        </w:rPr>
        <w:t>of</w:t>
      </w:r>
      <w:r w:rsidR="00010917">
        <w:rPr>
          <w:rFonts w:ascii="Cambria" w:hAnsi="Cambria" w:cs="Arial"/>
          <w:sz w:val="22"/>
          <w:szCs w:val="22"/>
        </w:rPr>
        <w:t xml:space="preserve"> </w:t>
      </w:r>
      <w:r w:rsidRPr="007B2894">
        <w:rPr>
          <w:rFonts w:ascii="Cambria" w:hAnsi="Cambria" w:cs="Arial"/>
          <w:spacing w:val="-21"/>
          <w:sz w:val="22"/>
          <w:szCs w:val="22"/>
        </w:rPr>
        <w:t xml:space="preserve"> </w:t>
      </w:r>
      <w:r w:rsidRPr="007B2894">
        <w:rPr>
          <w:rFonts w:ascii="Cambria" w:hAnsi="Cambria" w:cs="Arial"/>
          <w:sz w:val="22"/>
          <w:szCs w:val="22"/>
        </w:rPr>
        <w:t>resources</w:t>
      </w:r>
      <w:proofErr w:type="gramEnd"/>
      <w:r w:rsidRPr="007B2894">
        <w:rPr>
          <w:rFonts w:ascii="Cambria" w:hAnsi="Cambria" w:cs="Arial"/>
          <w:sz w:val="22"/>
          <w:szCs w:val="22"/>
        </w:rPr>
        <w:t>.</w:t>
      </w:r>
    </w:p>
    <w:p w14:paraId="2CE48C84" w14:textId="22BA473F" w:rsidR="00A739ED" w:rsidRPr="007B2894" w:rsidRDefault="00742E33">
      <w:pPr>
        <w:pStyle w:val="Heading2"/>
        <w:numPr>
          <w:ilvl w:val="0"/>
          <w:numId w:val="3"/>
        </w:numPr>
        <w:tabs>
          <w:tab w:val="left" w:pos="859"/>
          <w:tab w:val="left" w:pos="860"/>
        </w:tabs>
        <w:spacing w:before="40"/>
        <w:rPr>
          <w:rFonts w:ascii="Cambria" w:hAnsi="Cambria" w:cs="Arial"/>
          <w:sz w:val="22"/>
          <w:szCs w:val="22"/>
        </w:rPr>
      </w:pPr>
      <w:r w:rsidRPr="007B2894">
        <w:rPr>
          <w:rFonts w:ascii="Cambria" w:hAnsi="Cambria" w:cs="Arial"/>
          <w:sz w:val="22"/>
          <w:szCs w:val="22"/>
        </w:rPr>
        <w:t xml:space="preserve">Proportionate share of the change in collective deferred inflows </w:t>
      </w:r>
      <w:proofErr w:type="gramStart"/>
      <w:r w:rsidRPr="007B2894">
        <w:rPr>
          <w:rFonts w:ascii="Cambria" w:hAnsi="Cambria" w:cs="Arial"/>
          <w:sz w:val="22"/>
          <w:szCs w:val="22"/>
        </w:rPr>
        <w:t>of</w:t>
      </w:r>
      <w:r w:rsidRPr="007B2894">
        <w:rPr>
          <w:rFonts w:ascii="Cambria" w:hAnsi="Cambria" w:cs="Arial"/>
          <w:spacing w:val="-27"/>
          <w:sz w:val="22"/>
          <w:szCs w:val="22"/>
        </w:rPr>
        <w:t xml:space="preserve"> </w:t>
      </w:r>
      <w:r w:rsidR="00010917">
        <w:rPr>
          <w:rFonts w:ascii="Cambria" w:hAnsi="Cambria" w:cs="Arial"/>
          <w:spacing w:val="-27"/>
          <w:sz w:val="22"/>
          <w:szCs w:val="22"/>
        </w:rPr>
        <w:t xml:space="preserve"> </w:t>
      </w:r>
      <w:r w:rsidRPr="007B2894">
        <w:rPr>
          <w:rFonts w:ascii="Cambria" w:hAnsi="Cambria" w:cs="Arial"/>
          <w:sz w:val="22"/>
          <w:szCs w:val="22"/>
        </w:rPr>
        <w:t>resources</w:t>
      </w:r>
      <w:proofErr w:type="gramEnd"/>
      <w:r w:rsidRPr="007B2894">
        <w:rPr>
          <w:rFonts w:ascii="Cambria" w:hAnsi="Cambria" w:cs="Arial"/>
          <w:sz w:val="22"/>
          <w:szCs w:val="22"/>
        </w:rPr>
        <w:t>.</w:t>
      </w:r>
    </w:p>
    <w:p w14:paraId="56EF7BFE" w14:textId="77777777" w:rsidR="00A739ED" w:rsidRPr="007B2894" w:rsidRDefault="00742E33">
      <w:pPr>
        <w:pStyle w:val="Heading2"/>
        <w:numPr>
          <w:ilvl w:val="0"/>
          <w:numId w:val="3"/>
        </w:numPr>
        <w:tabs>
          <w:tab w:val="left" w:pos="859"/>
          <w:tab w:val="left" w:pos="860"/>
        </w:tabs>
        <w:spacing w:before="40"/>
        <w:rPr>
          <w:rFonts w:ascii="Cambria" w:hAnsi="Cambria" w:cs="Arial"/>
          <w:sz w:val="22"/>
          <w:szCs w:val="22"/>
        </w:rPr>
      </w:pPr>
      <w:r w:rsidRPr="007B2894">
        <w:rPr>
          <w:rFonts w:ascii="Cambria" w:hAnsi="Cambria" w:cs="Arial"/>
          <w:sz w:val="22"/>
          <w:szCs w:val="22"/>
        </w:rPr>
        <w:t xml:space="preserve">Proportionate share of collective </w:t>
      </w:r>
      <w:r w:rsidR="00A57523" w:rsidRPr="007B2894">
        <w:rPr>
          <w:rFonts w:ascii="Cambria" w:hAnsi="Cambria" w:cs="Arial"/>
          <w:sz w:val="22"/>
          <w:szCs w:val="22"/>
        </w:rPr>
        <w:t>OPEB</w:t>
      </w:r>
      <w:r w:rsidRPr="007B2894">
        <w:rPr>
          <w:rFonts w:ascii="Cambria" w:hAnsi="Cambria" w:cs="Arial"/>
          <w:spacing w:val="-9"/>
          <w:sz w:val="22"/>
          <w:szCs w:val="22"/>
        </w:rPr>
        <w:t xml:space="preserve"> </w:t>
      </w:r>
      <w:r w:rsidRPr="007B2894">
        <w:rPr>
          <w:rFonts w:ascii="Cambria" w:hAnsi="Cambria" w:cs="Arial"/>
          <w:sz w:val="22"/>
          <w:szCs w:val="22"/>
        </w:rPr>
        <w:t>expense.</w:t>
      </w:r>
    </w:p>
    <w:p w14:paraId="3C74A986" w14:textId="77777777" w:rsidR="00A739ED" w:rsidRPr="007B2894" w:rsidRDefault="00742E33" w:rsidP="0014199C">
      <w:pPr>
        <w:pStyle w:val="Heading2"/>
        <w:numPr>
          <w:ilvl w:val="0"/>
          <w:numId w:val="3"/>
        </w:numPr>
        <w:tabs>
          <w:tab w:val="left" w:pos="859"/>
          <w:tab w:val="left" w:pos="860"/>
        </w:tabs>
        <w:spacing w:before="9" w:line="274" w:lineRule="auto"/>
        <w:ind w:left="864" w:right="360"/>
        <w:rPr>
          <w:rFonts w:ascii="Cambria" w:hAnsi="Cambria" w:cs="Arial"/>
          <w:sz w:val="22"/>
          <w:szCs w:val="22"/>
        </w:rPr>
      </w:pPr>
      <w:r w:rsidRPr="007B2894">
        <w:rPr>
          <w:rFonts w:ascii="Cambria" w:hAnsi="Cambria" w:cs="Arial"/>
          <w:sz w:val="22"/>
          <w:szCs w:val="22"/>
        </w:rPr>
        <w:t>Deferral of the employer contributions between the measurement date and the reporting date.</w:t>
      </w:r>
    </w:p>
    <w:p w14:paraId="629842E2" w14:textId="77777777" w:rsidR="00A739ED" w:rsidRPr="007B2894" w:rsidRDefault="00742E33" w:rsidP="00863D6C">
      <w:pPr>
        <w:pStyle w:val="Heading2"/>
        <w:spacing w:before="204" w:line="273" w:lineRule="auto"/>
        <w:ind w:left="140" w:right="750"/>
        <w:rPr>
          <w:rFonts w:ascii="Cambria" w:hAnsi="Cambria"/>
          <w:sz w:val="22"/>
          <w:szCs w:val="22"/>
        </w:rPr>
      </w:pPr>
      <w:r w:rsidRPr="007B2894">
        <w:rPr>
          <w:rFonts w:ascii="Cambria" w:hAnsi="Cambria" w:cs="Arial"/>
          <w:sz w:val="22"/>
          <w:szCs w:val="22"/>
        </w:rPr>
        <w:t xml:space="preserve">The </w:t>
      </w:r>
      <w:r w:rsidR="0014199C">
        <w:rPr>
          <w:rFonts w:ascii="Cambria" w:hAnsi="Cambria" w:cs="Arial"/>
          <w:sz w:val="22"/>
          <w:szCs w:val="22"/>
        </w:rPr>
        <w:t>j</w:t>
      </w:r>
      <w:r w:rsidRPr="007B2894">
        <w:rPr>
          <w:rFonts w:ascii="Cambria" w:hAnsi="Cambria" w:cs="Arial"/>
          <w:sz w:val="22"/>
          <w:szCs w:val="22"/>
        </w:rPr>
        <w:t xml:space="preserve">ournal </w:t>
      </w:r>
      <w:r w:rsidR="0014199C">
        <w:rPr>
          <w:rFonts w:ascii="Cambria" w:hAnsi="Cambria" w:cs="Arial"/>
          <w:sz w:val="22"/>
          <w:szCs w:val="22"/>
        </w:rPr>
        <w:t>e</w:t>
      </w:r>
      <w:r w:rsidRPr="007B2894">
        <w:rPr>
          <w:rFonts w:ascii="Cambria" w:hAnsi="Cambria" w:cs="Arial"/>
          <w:sz w:val="22"/>
          <w:szCs w:val="22"/>
        </w:rPr>
        <w:t xml:space="preserve">ntry </w:t>
      </w:r>
      <w:r w:rsidR="0014199C">
        <w:rPr>
          <w:rFonts w:ascii="Cambria" w:hAnsi="Cambria" w:cs="Arial"/>
          <w:sz w:val="22"/>
          <w:szCs w:val="22"/>
        </w:rPr>
        <w:t>t</w:t>
      </w:r>
      <w:r w:rsidRPr="007B2894">
        <w:rPr>
          <w:rFonts w:ascii="Cambria" w:hAnsi="Cambria" w:cs="Arial"/>
          <w:sz w:val="22"/>
          <w:szCs w:val="22"/>
        </w:rPr>
        <w:t xml:space="preserve">ool accompanying this guide summarizes the accounting requirements listed above into </w:t>
      </w:r>
      <w:r w:rsidR="00CD7D51">
        <w:rPr>
          <w:rFonts w:ascii="Cambria" w:hAnsi="Cambria" w:cs="Arial"/>
          <w:sz w:val="22"/>
          <w:szCs w:val="22"/>
        </w:rPr>
        <w:t>two</w:t>
      </w:r>
      <w:r w:rsidRPr="007B2894">
        <w:rPr>
          <w:rFonts w:ascii="Cambria" w:hAnsi="Cambria" w:cs="Arial"/>
          <w:sz w:val="22"/>
          <w:szCs w:val="22"/>
        </w:rPr>
        <w:t xml:space="preserve"> journal entries b</w:t>
      </w:r>
      <w:r w:rsidR="00B779E7" w:rsidRPr="007B2894">
        <w:rPr>
          <w:rFonts w:ascii="Cambria" w:hAnsi="Cambria" w:cs="Arial"/>
          <w:sz w:val="22"/>
          <w:szCs w:val="22"/>
        </w:rPr>
        <w:t>y using the information in the S</w:t>
      </w:r>
      <w:r w:rsidRPr="007B2894">
        <w:rPr>
          <w:rFonts w:ascii="Cambria" w:hAnsi="Cambria" w:cs="Arial"/>
          <w:sz w:val="22"/>
          <w:szCs w:val="22"/>
        </w:rPr>
        <w:t>chedules published annually by</w:t>
      </w:r>
      <w:r w:rsidR="00B779E7" w:rsidRPr="007B2894">
        <w:rPr>
          <w:rFonts w:ascii="Cambria" w:hAnsi="Cambria" w:cs="Arial"/>
          <w:sz w:val="22"/>
          <w:szCs w:val="22"/>
        </w:rPr>
        <w:t xml:space="preserve"> </w:t>
      </w:r>
      <w:r w:rsidR="00F25ECC" w:rsidRPr="007B2894">
        <w:rPr>
          <w:rFonts w:ascii="Cambria" w:hAnsi="Cambria" w:cs="Arial"/>
          <w:sz w:val="22"/>
          <w:szCs w:val="22"/>
        </w:rPr>
        <w:t>NM</w:t>
      </w:r>
      <w:r w:rsidR="00B779E7" w:rsidRPr="007B2894">
        <w:rPr>
          <w:rFonts w:ascii="Cambria" w:hAnsi="Cambria" w:cs="Arial"/>
          <w:sz w:val="22"/>
          <w:szCs w:val="22"/>
        </w:rPr>
        <w:t>RHCA</w:t>
      </w:r>
      <w:r w:rsidRPr="007B2894">
        <w:rPr>
          <w:rFonts w:ascii="Cambria" w:hAnsi="Cambria" w:cs="Arial"/>
          <w:sz w:val="22"/>
          <w:szCs w:val="22"/>
        </w:rPr>
        <w:t xml:space="preserve">. Figure 1 </w:t>
      </w:r>
      <w:r w:rsidR="00350BBB" w:rsidRPr="007B2894">
        <w:rPr>
          <w:rFonts w:ascii="Cambria" w:hAnsi="Cambria" w:cs="Arial"/>
          <w:sz w:val="22"/>
          <w:szCs w:val="22"/>
        </w:rPr>
        <w:t>below</w:t>
      </w:r>
      <w:r w:rsidRPr="007B2894">
        <w:rPr>
          <w:rFonts w:ascii="Cambria" w:hAnsi="Cambria" w:cs="Arial"/>
          <w:sz w:val="22"/>
          <w:szCs w:val="22"/>
        </w:rPr>
        <w:t xml:space="preserve"> illustrates the tool’s </w:t>
      </w:r>
      <w:r w:rsidR="00350BBB" w:rsidRPr="007B2894">
        <w:rPr>
          <w:rFonts w:ascii="Cambria" w:hAnsi="Cambria" w:cs="Arial"/>
          <w:sz w:val="22"/>
          <w:szCs w:val="22"/>
        </w:rPr>
        <w:t>journal entries to be recorded after the appropriate data is entered</w:t>
      </w:r>
      <w:r w:rsidRPr="007B2894">
        <w:rPr>
          <w:rFonts w:ascii="Cambria" w:hAnsi="Cambria" w:cs="Arial"/>
          <w:sz w:val="22"/>
          <w:szCs w:val="22"/>
        </w:rPr>
        <w:t xml:space="preserve">. How to use the </w:t>
      </w:r>
      <w:r w:rsidR="0014199C">
        <w:rPr>
          <w:rFonts w:ascii="Cambria" w:hAnsi="Cambria" w:cs="Arial"/>
          <w:sz w:val="22"/>
          <w:szCs w:val="22"/>
        </w:rPr>
        <w:t>j</w:t>
      </w:r>
      <w:r w:rsidR="00863D6C" w:rsidRPr="007B2894">
        <w:rPr>
          <w:rFonts w:ascii="Cambria" w:hAnsi="Cambria" w:cs="Arial"/>
          <w:sz w:val="22"/>
          <w:szCs w:val="22"/>
        </w:rPr>
        <w:t xml:space="preserve">ournal </w:t>
      </w:r>
      <w:r w:rsidR="0014199C">
        <w:rPr>
          <w:rFonts w:ascii="Cambria" w:hAnsi="Cambria" w:cs="Arial"/>
          <w:sz w:val="22"/>
          <w:szCs w:val="22"/>
        </w:rPr>
        <w:t>e</w:t>
      </w:r>
      <w:r w:rsidR="00863D6C" w:rsidRPr="007B2894">
        <w:rPr>
          <w:rFonts w:ascii="Cambria" w:hAnsi="Cambria" w:cs="Arial"/>
          <w:sz w:val="22"/>
          <w:szCs w:val="22"/>
        </w:rPr>
        <w:t>ntry</w:t>
      </w:r>
      <w:r w:rsidRPr="007B2894">
        <w:rPr>
          <w:rFonts w:ascii="Cambria" w:hAnsi="Cambria" w:cs="Arial"/>
          <w:sz w:val="22"/>
          <w:szCs w:val="22"/>
        </w:rPr>
        <w:t xml:space="preserve"> </w:t>
      </w:r>
      <w:r w:rsidR="0014199C">
        <w:rPr>
          <w:rFonts w:ascii="Cambria" w:hAnsi="Cambria" w:cs="Arial"/>
          <w:sz w:val="22"/>
          <w:szCs w:val="22"/>
        </w:rPr>
        <w:t>t</w:t>
      </w:r>
      <w:r w:rsidRPr="007B2894">
        <w:rPr>
          <w:rFonts w:ascii="Cambria" w:hAnsi="Cambria" w:cs="Arial"/>
          <w:sz w:val="22"/>
          <w:szCs w:val="22"/>
        </w:rPr>
        <w:t>ool is explained in Section 2.</w:t>
      </w:r>
    </w:p>
    <w:p w14:paraId="064AC3B4" w14:textId="77777777" w:rsidR="00A739ED" w:rsidRDefault="00A739ED">
      <w:pPr>
        <w:pStyle w:val="BodyText"/>
        <w:rPr>
          <w:rFonts w:ascii="Times New Roman"/>
        </w:rPr>
      </w:pPr>
    </w:p>
    <w:p w14:paraId="7D427D92" w14:textId="4184B228" w:rsidR="00A739ED" w:rsidRPr="00BD4E34" w:rsidRDefault="00742E33" w:rsidP="00B136F3">
      <w:pPr>
        <w:pStyle w:val="Heading2"/>
        <w:tabs>
          <w:tab w:val="left" w:pos="7959"/>
        </w:tabs>
        <w:spacing w:before="75"/>
        <w:ind w:left="0"/>
        <w:rPr>
          <w:rFonts w:asciiTheme="majorHAnsi" w:hAnsiTheme="majorHAnsi" w:cs="Arial"/>
          <w:sz w:val="22"/>
          <w:szCs w:val="22"/>
        </w:rPr>
      </w:pPr>
      <w:r w:rsidRPr="00BD4E34">
        <w:rPr>
          <w:rFonts w:asciiTheme="majorHAnsi" w:hAnsiTheme="majorHAnsi" w:cs="Arial"/>
          <w:i/>
          <w:color w:val="1F497C"/>
          <w:sz w:val="22"/>
          <w:szCs w:val="22"/>
        </w:rPr>
        <w:t>Fi</w:t>
      </w:r>
      <w:r w:rsidR="00863D6C" w:rsidRPr="00BD4E34">
        <w:rPr>
          <w:rFonts w:asciiTheme="majorHAnsi" w:hAnsiTheme="majorHAnsi" w:cs="Arial"/>
          <w:i/>
          <w:color w:val="1F497C"/>
          <w:sz w:val="22"/>
          <w:szCs w:val="22"/>
        </w:rPr>
        <w:t>gure 1: Summary Amounts Generated by Journal Entry</w:t>
      </w:r>
      <w:r w:rsidRPr="00BD4E34">
        <w:rPr>
          <w:rFonts w:asciiTheme="majorHAnsi" w:hAnsiTheme="majorHAnsi" w:cs="Arial"/>
          <w:i/>
          <w:color w:val="1F497C"/>
          <w:sz w:val="22"/>
          <w:szCs w:val="22"/>
        </w:rPr>
        <w:t xml:space="preserve"> Tool</w:t>
      </w:r>
      <w:r w:rsidR="00B779E7" w:rsidRPr="00BD4E34">
        <w:rPr>
          <w:rFonts w:asciiTheme="majorHAnsi" w:hAnsiTheme="majorHAnsi" w:cs="Arial"/>
          <w:i/>
          <w:color w:val="1F497C"/>
          <w:sz w:val="22"/>
          <w:szCs w:val="22"/>
        </w:rPr>
        <w:t xml:space="preserve"> (using </w:t>
      </w:r>
      <w:r w:rsidR="003A3CB0">
        <w:rPr>
          <w:rFonts w:asciiTheme="majorHAnsi" w:hAnsiTheme="majorHAnsi" w:cs="Arial"/>
          <w:i/>
          <w:color w:val="1F497C"/>
          <w:sz w:val="22"/>
          <w:szCs w:val="22"/>
        </w:rPr>
        <w:t>2400</w:t>
      </w:r>
      <w:r w:rsidR="00B779E7" w:rsidRPr="00BD4E34">
        <w:rPr>
          <w:rFonts w:asciiTheme="majorHAnsi" w:hAnsiTheme="majorHAnsi" w:cs="Arial"/>
          <w:i/>
          <w:color w:val="1F497C"/>
          <w:sz w:val="22"/>
          <w:szCs w:val="22"/>
        </w:rPr>
        <w:t xml:space="preserve"> – </w:t>
      </w:r>
      <w:r w:rsidR="003A3CB0">
        <w:rPr>
          <w:rFonts w:asciiTheme="majorHAnsi" w:hAnsiTheme="majorHAnsi" w:cs="Arial"/>
          <w:i/>
          <w:color w:val="1F497C"/>
          <w:sz w:val="22"/>
          <w:szCs w:val="22"/>
        </w:rPr>
        <w:t xml:space="preserve">City of Las Cruces </w:t>
      </w:r>
      <w:r w:rsidR="00B779E7" w:rsidRPr="00BD4E34">
        <w:rPr>
          <w:rFonts w:asciiTheme="majorHAnsi" w:hAnsiTheme="majorHAnsi" w:cs="Arial"/>
          <w:i/>
          <w:color w:val="1F497C"/>
          <w:sz w:val="22"/>
          <w:szCs w:val="22"/>
        </w:rPr>
        <w:t>as an example)</w:t>
      </w:r>
    </w:p>
    <w:p w14:paraId="7AD8382E" w14:textId="77777777" w:rsidR="00A739ED" w:rsidRDefault="00A739ED">
      <w:pPr>
        <w:pStyle w:val="BodyText"/>
        <w:rPr>
          <w:rFonts w:ascii="Times New Roman"/>
          <w:i/>
        </w:rPr>
      </w:pPr>
    </w:p>
    <w:p w14:paraId="53F03D83" w14:textId="439E8142" w:rsidR="00A739ED" w:rsidRDefault="00A739ED">
      <w:pPr>
        <w:pStyle w:val="BodyText"/>
        <w:rPr>
          <w:rFonts w:ascii="Times New Roman"/>
          <w:i/>
        </w:rPr>
      </w:pPr>
    </w:p>
    <w:p w14:paraId="4274ADB8" w14:textId="77777777" w:rsidR="00A739ED" w:rsidRDefault="00A739ED">
      <w:pPr>
        <w:pStyle w:val="BodyText"/>
        <w:spacing w:before="2"/>
        <w:rPr>
          <w:rFonts w:ascii="Times New Roman"/>
          <w:i/>
          <w:sz w:val="12"/>
        </w:rPr>
      </w:pPr>
    </w:p>
    <w:p w14:paraId="11395199" w14:textId="780A02C7" w:rsidR="00A739ED" w:rsidRDefault="00E70DA4">
      <w:pPr>
        <w:rPr>
          <w:rFonts w:ascii="Times New Roman"/>
          <w:sz w:val="12"/>
        </w:rPr>
      </w:pPr>
      <w:r w:rsidRPr="00E70DA4">
        <w:drawing>
          <wp:inline distT="0" distB="0" distL="0" distR="0" wp14:anchorId="428410C7" wp14:editId="2F6F8BD9">
            <wp:extent cx="6711950" cy="16186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1950" cy="1618615"/>
                    </a:xfrm>
                    <a:prstGeom prst="rect">
                      <a:avLst/>
                    </a:prstGeom>
                    <a:noFill/>
                    <a:ln>
                      <a:noFill/>
                    </a:ln>
                  </pic:spPr>
                </pic:pic>
              </a:graphicData>
            </a:graphic>
          </wp:inline>
        </w:drawing>
      </w:r>
    </w:p>
    <w:p w14:paraId="5EFC27AF" w14:textId="77777777" w:rsidR="00B136F3" w:rsidRDefault="00B136F3">
      <w:pPr>
        <w:rPr>
          <w:rFonts w:ascii="Times New Roman"/>
          <w:sz w:val="12"/>
        </w:rPr>
      </w:pPr>
    </w:p>
    <w:p w14:paraId="0A8B3AE5" w14:textId="77777777" w:rsidR="00B136F3" w:rsidRPr="00B136F3" w:rsidRDefault="00B136F3" w:rsidP="00B136F3">
      <w:pPr>
        <w:pStyle w:val="ListParagraph"/>
        <w:ind w:firstLine="0"/>
        <w:rPr>
          <w:sz w:val="20"/>
          <w:szCs w:val="20"/>
        </w:rPr>
        <w:sectPr w:rsidR="00B136F3" w:rsidRPr="00B136F3" w:rsidSect="00731561">
          <w:headerReference w:type="default" r:id="rId16"/>
          <w:footerReference w:type="default" r:id="rId17"/>
          <w:pgSz w:w="12240" w:h="15840" w:code="1"/>
          <w:pgMar w:top="634" w:right="374" w:bottom="1238" w:left="1296" w:header="0" w:footer="720" w:gutter="0"/>
          <w:pgNumType w:start="1"/>
          <w:cols w:space="720"/>
        </w:sectPr>
      </w:pPr>
    </w:p>
    <w:p w14:paraId="1A5F2043" w14:textId="5F4C016B" w:rsidR="00A739ED" w:rsidRPr="007F7A78" w:rsidRDefault="00742E33" w:rsidP="00B136F3">
      <w:pPr>
        <w:pStyle w:val="BodyText"/>
        <w:spacing w:before="4"/>
        <w:rPr>
          <w:rFonts w:ascii="Cambria" w:eastAsia="Cambria" w:hAnsi="Cambria"/>
          <w:b/>
          <w:bCs/>
          <w:color w:val="365F91" w:themeColor="accent1" w:themeShade="BF"/>
          <w:sz w:val="28"/>
          <w:szCs w:val="28"/>
        </w:rPr>
      </w:pPr>
      <w:bookmarkStart w:id="2" w:name="_TOC_250000"/>
      <w:bookmarkEnd w:id="2"/>
      <w:r w:rsidRPr="007F7A78">
        <w:rPr>
          <w:rFonts w:ascii="Cambria" w:eastAsia="Cambria" w:hAnsi="Cambria"/>
          <w:b/>
          <w:bCs/>
          <w:color w:val="365F91" w:themeColor="accent1" w:themeShade="BF"/>
          <w:sz w:val="28"/>
          <w:szCs w:val="28"/>
        </w:rPr>
        <w:lastRenderedPageBreak/>
        <w:t>Section 2: How to Use the J</w:t>
      </w:r>
      <w:r w:rsidR="00B136F3" w:rsidRPr="007F7A78">
        <w:rPr>
          <w:rFonts w:ascii="Cambria" w:eastAsia="Cambria" w:hAnsi="Cambria"/>
          <w:b/>
          <w:bCs/>
          <w:color w:val="365F91" w:themeColor="accent1" w:themeShade="BF"/>
          <w:sz w:val="28"/>
          <w:szCs w:val="28"/>
        </w:rPr>
        <w:t xml:space="preserve">ournal </w:t>
      </w:r>
      <w:r w:rsidRPr="007F7A78">
        <w:rPr>
          <w:rFonts w:ascii="Cambria" w:eastAsia="Cambria" w:hAnsi="Cambria"/>
          <w:b/>
          <w:bCs/>
          <w:color w:val="365F91" w:themeColor="accent1" w:themeShade="BF"/>
          <w:sz w:val="28"/>
          <w:szCs w:val="28"/>
        </w:rPr>
        <w:t>E</w:t>
      </w:r>
      <w:r w:rsidR="00B136F3" w:rsidRPr="007F7A78">
        <w:rPr>
          <w:rFonts w:ascii="Cambria" w:eastAsia="Cambria" w:hAnsi="Cambria"/>
          <w:b/>
          <w:bCs/>
          <w:color w:val="365F91" w:themeColor="accent1" w:themeShade="BF"/>
          <w:sz w:val="28"/>
          <w:szCs w:val="28"/>
        </w:rPr>
        <w:t>ntry</w:t>
      </w:r>
      <w:r w:rsidRPr="007F7A78">
        <w:rPr>
          <w:rFonts w:ascii="Cambria" w:eastAsia="Cambria" w:hAnsi="Cambria"/>
          <w:b/>
          <w:bCs/>
          <w:color w:val="365F91" w:themeColor="accent1" w:themeShade="BF"/>
          <w:sz w:val="28"/>
          <w:szCs w:val="28"/>
        </w:rPr>
        <w:t xml:space="preserve"> Tool</w:t>
      </w:r>
    </w:p>
    <w:p w14:paraId="4E655F3D" w14:textId="745FC5A0" w:rsidR="00A739ED" w:rsidRPr="007F7A78" w:rsidRDefault="00742E33" w:rsidP="002D38C8">
      <w:pPr>
        <w:pStyle w:val="Heading2"/>
        <w:spacing w:before="152" w:line="276" w:lineRule="auto"/>
        <w:ind w:left="0" w:right="20"/>
        <w:rPr>
          <w:rFonts w:ascii="Cambria" w:hAnsi="Cambria" w:cs="Arial"/>
          <w:sz w:val="22"/>
          <w:szCs w:val="22"/>
        </w:rPr>
      </w:pPr>
      <w:r w:rsidRPr="007F7A78">
        <w:rPr>
          <w:rFonts w:ascii="Cambria" w:hAnsi="Cambria" w:cs="Arial"/>
          <w:sz w:val="22"/>
          <w:szCs w:val="22"/>
        </w:rPr>
        <w:t xml:space="preserve">The </w:t>
      </w:r>
      <w:r w:rsidR="0014199C">
        <w:rPr>
          <w:rFonts w:ascii="Cambria" w:hAnsi="Cambria" w:cs="Arial"/>
          <w:sz w:val="22"/>
          <w:szCs w:val="22"/>
        </w:rPr>
        <w:t>j</w:t>
      </w:r>
      <w:r w:rsidR="00B136F3" w:rsidRPr="007F7A78">
        <w:rPr>
          <w:rFonts w:ascii="Cambria" w:hAnsi="Cambria" w:cs="Arial"/>
          <w:sz w:val="22"/>
          <w:szCs w:val="22"/>
        </w:rPr>
        <w:t xml:space="preserve">ournal </w:t>
      </w:r>
      <w:r w:rsidR="0014199C">
        <w:rPr>
          <w:rFonts w:ascii="Cambria" w:hAnsi="Cambria" w:cs="Arial"/>
          <w:sz w:val="22"/>
          <w:szCs w:val="22"/>
        </w:rPr>
        <w:t>e</w:t>
      </w:r>
      <w:r w:rsidR="00B136F3" w:rsidRPr="007F7A78">
        <w:rPr>
          <w:rFonts w:ascii="Cambria" w:hAnsi="Cambria" w:cs="Arial"/>
          <w:sz w:val="22"/>
          <w:szCs w:val="22"/>
        </w:rPr>
        <w:t>ntry</w:t>
      </w:r>
      <w:r w:rsidRPr="007F7A78">
        <w:rPr>
          <w:rFonts w:ascii="Cambria" w:hAnsi="Cambria" w:cs="Arial"/>
          <w:sz w:val="22"/>
          <w:szCs w:val="22"/>
        </w:rPr>
        <w:t xml:space="preserve"> </w:t>
      </w:r>
      <w:r w:rsidR="0014199C">
        <w:rPr>
          <w:rFonts w:ascii="Cambria" w:hAnsi="Cambria" w:cs="Arial"/>
          <w:sz w:val="22"/>
          <w:szCs w:val="22"/>
        </w:rPr>
        <w:t>t</w:t>
      </w:r>
      <w:r w:rsidRPr="007F7A78">
        <w:rPr>
          <w:rFonts w:ascii="Cambria" w:hAnsi="Cambria" w:cs="Arial"/>
          <w:sz w:val="22"/>
          <w:szCs w:val="22"/>
        </w:rPr>
        <w:t>ool is in an Excel</w:t>
      </w:r>
      <w:r w:rsidRPr="007F7A78">
        <w:rPr>
          <w:rFonts w:ascii="Cambria" w:hAnsi="Cambria" w:cs="Arial"/>
          <w:position w:val="9"/>
          <w:sz w:val="22"/>
          <w:szCs w:val="22"/>
        </w:rPr>
        <w:t xml:space="preserve">® </w:t>
      </w:r>
      <w:r w:rsidRPr="007F7A78">
        <w:rPr>
          <w:rFonts w:ascii="Cambria" w:hAnsi="Cambria" w:cs="Arial"/>
          <w:sz w:val="22"/>
          <w:szCs w:val="22"/>
        </w:rPr>
        <w:t xml:space="preserve">workbook, which </w:t>
      </w:r>
      <w:r w:rsidR="00B136F3" w:rsidRPr="007F7A78">
        <w:rPr>
          <w:rFonts w:ascii="Cambria" w:hAnsi="Cambria" w:cs="Arial"/>
          <w:sz w:val="22"/>
          <w:szCs w:val="22"/>
        </w:rPr>
        <w:t xml:space="preserve">can be </w:t>
      </w:r>
      <w:r w:rsidR="00010917">
        <w:rPr>
          <w:rFonts w:ascii="Cambria" w:hAnsi="Cambria" w:cs="Arial"/>
          <w:sz w:val="22"/>
          <w:szCs w:val="22"/>
        </w:rPr>
        <w:t xml:space="preserve">found at the NMRHCA’s website. </w:t>
      </w:r>
      <w:r w:rsidRPr="007F7A78">
        <w:rPr>
          <w:rFonts w:ascii="Cambria" w:hAnsi="Cambria" w:cs="Arial"/>
          <w:sz w:val="22"/>
          <w:szCs w:val="22"/>
        </w:rPr>
        <w:t xml:space="preserve">Once </w:t>
      </w:r>
      <w:r w:rsidR="00B136F3" w:rsidRPr="007F7A78">
        <w:rPr>
          <w:rFonts w:ascii="Cambria" w:hAnsi="Cambria" w:cs="Arial"/>
          <w:sz w:val="22"/>
          <w:szCs w:val="22"/>
        </w:rPr>
        <w:t>the workbook is downloaded</w:t>
      </w:r>
      <w:r w:rsidRPr="007F7A78">
        <w:rPr>
          <w:rFonts w:ascii="Cambria" w:hAnsi="Cambria" w:cs="Arial"/>
          <w:sz w:val="22"/>
          <w:szCs w:val="22"/>
        </w:rPr>
        <w:t xml:space="preserve">, open the </w:t>
      </w:r>
      <w:proofErr w:type="gramStart"/>
      <w:r w:rsidRPr="007F7A78">
        <w:rPr>
          <w:rFonts w:ascii="Cambria" w:hAnsi="Cambria" w:cs="Arial"/>
          <w:sz w:val="22"/>
          <w:szCs w:val="22"/>
        </w:rPr>
        <w:t>work</w:t>
      </w:r>
      <w:r w:rsidR="00B136F3" w:rsidRPr="007F7A78">
        <w:rPr>
          <w:rFonts w:ascii="Cambria" w:hAnsi="Cambria" w:cs="Arial"/>
          <w:sz w:val="22"/>
          <w:szCs w:val="22"/>
        </w:rPr>
        <w:t>book</w:t>
      </w:r>
      <w:proofErr w:type="gramEnd"/>
      <w:r w:rsidR="00B136F3" w:rsidRPr="007F7A78">
        <w:rPr>
          <w:rFonts w:ascii="Cambria" w:hAnsi="Cambria" w:cs="Arial"/>
          <w:sz w:val="22"/>
          <w:szCs w:val="22"/>
        </w:rPr>
        <w:t xml:space="preserve"> and input the information in the blue boxes as directed. </w:t>
      </w:r>
      <w:r w:rsidRPr="007F7A78">
        <w:rPr>
          <w:rFonts w:ascii="Cambria" w:hAnsi="Cambria" w:cs="Arial"/>
          <w:sz w:val="22"/>
          <w:szCs w:val="22"/>
        </w:rPr>
        <w:t>Figure 2 below illustrates the data entry section.</w:t>
      </w:r>
    </w:p>
    <w:p w14:paraId="22038A25" w14:textId="77777777" w:rsidR="00A739ED" w:rsidRDefault="00A739ED">
      <w:pPr>
        <w:pStyle w:val="BodyText"/>
        <w:spacing w:before="1"/>
        <w:rPr>
          <w:rFonts w:ascii="Times New Roman"/>
          <w:sz w:val="9"/>
        </w:rPr>
      </w:pPr>
    </w:p>
    <w:p w14:paraId="7CD75EE4" w14:textId="192D8C27" w:rsidR="00A739ED" w:rsidRPr="00BD4E34" w:rsidRDefault="00742E33" w:rsidP="00B136F3">
      <w:pPr>
        <w:spacing w:before="275"/>
        <w:ind w:left="140"/>
        <w:rPr>
          <w:rFonts w:asciiTheme="majorHAnsi" w:hAnsiTheme="majorHAnsi"/>
          <w:i/>
          <w:color w:val="1F497C"/>
        </w:rPr>
      </w:pPr>
      <w:r w:rsidRPr="00BD4E34">
        <w:rPr>
          <w:rFonts w:asciiTheme="majorHAnsi" w:hAnsiTheme="majorHAnsi"/>
          <w:i/>
          <w:color w:val="1F497C"/>
        </w:rPr>
        <w:t>Figure 2</w:t>
      </w:r>
      <w:r w:rsidR="00010917">
        <w:rPr>
          <w:rFonts w:asciiTheme="majorHAnsi" w:hAnsiTheme="majorHAnsi"/>
          <w:i/>
          <w:color w:val="1F497C"/>
        </w:rPr>
        <w:t>:</w:t>
      </w:r>
      <w:r w:rsidRPr="00BD4E34">
        <w:rPr>
          <w:rFonts w:asciiTheme="majorHAnsi" w:hAnsiTheme="majorHAnsi"/>
          <w:i/>
          <w:color w:val="1F497C"/>
        </w:rPr>
        <w:t xml:space="preserve"> Data Entry Required</w:t>
      </w:r>
      <w:r w:rsidR="00863D6C" w:rsidRPr="00BD4E34">
        <w:rPr>
          <w:rFonts w:asciiTheme="majorHAnsi" w:hAnsiTheme="majorHAnsi"/>
          <w:i/>
          <w:color w:val="1F497C"/>
        </w:rPr>
        <w:t>*</w:t>
      </w:r>
    </w:p>
    <w:p w14:paraId="6D604C88" w14:textId="3A7059EF" w:rsidR="00A739ED" w:rsidRDefault="00E70DA4">
      <w:pPr>
        <w:pStyle w:val="BodyText"/>
        <w:spacing w:before="7"/>
        <w:rPr>
          <w:rFonts w:ascii="Times New Roman"/>
          <w:sz w:val="26"/>
        </w:rPr>
      </w:pPr>
      <w:r w:rsidRPr="00E70DA4">
        <w:drawing>
          <wp:inline distT="0" distB="0" distL="0" distR="0" wp14:anchorId="2A7972C7" wp14:editId="5B46D37E">
            <wp:extent cx="6172200" cy="1765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2200" cy="1765935"/>
                    </a:xfrm>
                    <a:prstGeom prst="rect">
                      <a:avLst/>
                    </a:prstGeom>
                    <a:noFill/>
                    <a:ln>
                      <a:noFill/>
                    </a:ln>
                  </pic:spPr>
                </pic:pic>
              </a:graphicData>
            </a:graphic>
          </wp:inline>
        </w:drawing>
      </w:r>
    </w:p>
    <w:p w14:paraId="0FABC796" w14:textId="77777777" w:rsidR="00B823BC" w:rsidRDefault="00B823BC">
      <w:pPr>
        <w:pStyle w:val="BodyText"/>
        <w:spacing w:before="7"/>
        <w:rPr>
          <w:rFonts w:ascii="Times New Roman"/>
          <w:sz w:val="26"/>
        </w:rPr>
      </w:pPr>
    </w:p>
    <w:p w14:paraId="2264F96A" w14:textId="3C27E182" w:rsidR="00863D6C" w:rsidRPr="00920DD5" w:rsidRDefault="00863D6C" w:rsidP="00863D6C">
      <w:pPr>
        <w:rPr>
          <w:rFonts w:asciiTheme="majorHAnsi" w:hAnsiTheme="majorHAnsi"/>
          <w:sz w:val="18"/>
          <w:szCs w:val="18"/>
        </w:rPr>
      </w:pPr>
      <w:r w:rsidRPr="00BD4E34">
        <w:rPr>
          <w:rFonts w:asciiTheme="majorHAnsi" w:hAnsiTheme="majorHAnsi"/>
        </w:rPr>
        <w:t xml:space="preserve">* </w:t>
      </w:r>
      <w:r w:rsidRPr="00920DD5">
        <w:rPr>
          <w:rFonts w:asciiTheme="majorHAnsi" w:hAnsiTheme="majorHAnsi"/>
          <w:sz w:val="18"/>
          <w:szCs w:val="18"/>
        </w:rPr>
        <w:t>Example assumes employer</w:t>
      </w:r>
      <w:r w:rsidR="00920DD5" w:rsidRPr="00920DD5">
        <w:rPr>
          <w:rFonts w:asciiTheme="majorHAnsi" w:hAnsiTheme="majorHAnsi"/>
          <w:sz w:val="18"/>
          <w:szCs w:val="18"/>
        </w:rPr>
        <w:t xml:space="preserve"> contributions </w:t>
      </w:r>
      <w:r w:rsidR="007A7734">
        <w:rPr>
          <w:rFonts w:asciiTheme="majorHAnsi" w:hAnsiTheme="majorHAnsi"/>
          <w:sz w:val="18"/>
          <w:szCs w:val="18"/>
        </w:rPr>
        <w:t xml:space="preserve">and associated covered payroll </w:t>
      </w:r>
      <w:r w:rsidR="00920DD5" w:rsidRPr="00920DD5">
        <w:rPr>
          <w:rFonts w:asciiTheme="majorHAnsi" w:hAnsiTheme="majorHAnsi"/>
          <w:sz w:val="18"/>
          <w:szCs w:val="18"/>
        </w:rPr>
        <w:t xml:space="preserve">from July 1, </w:t>
      </w:r>
      <w:proofErr w:type="gramStart"/>
      <w:r w:rsidR="00920DD5" w:rsidRPr="00920DD5">
        <w:rPr>
          <w:rFonts w:asciiTheme="majorHAnsi" w:hAnsiTheme="majorHAnsi"/>
          <w:sz w:val="18"/>
          <w:szCs w:val="18"/>
        </w:rPr>
        <w:t>20</w:t>
      </w:r>
      <w:r w:rsidR="007A7734">
        <w:rPr>
          <w:rFonts w:asciiTheme="majorHAnsi" w:hAnsiTheme="majorHAnsi"/>
          <w:sz w:val="18"/>
          <w:szCs w:val="18"/>
        </w:rPr>
        <w:t>2</w:t>
      </w:r>
      <w:r w:rsidR="00727E50">
        <w:rPr>
          <w:rFonts w:asciiTheme="majorHAnsi" w:hAnsiTheme="majorHAnsi"/>
          <w:sz w:val="18"/>
          <w:szCs w:val="18"/>
        </w:rPr>
        <w:t>3</w:t>
      </w:r>
      <w:proofErr w:type="gramEnd"/>
      <w:r w:rsidR="00920DD5" w:rsidRPr="00920DD5">
        <w:rPr>
          <w:rFonts w:asciiTheme="majorHAnsi" w:hAnsiTheme="majorHAnsi"/>
          <w:sz w:val="18"/>
          <w:szCs w:val="18"/>
        </w:rPr>
        <w:t xml:space="preserve"> through June 30, 202</w:t>
      </w:r>
      <w:r w:rsidR="00727E50">
        <w:rPr>
          <w:rFonts w:asciiTheme="majorHAnsi" w:hAnsiTheme="majorHAnsi"/>
          <w:sz w:val="18"/>
          <w:szCs w:val="18"/>
        </w:rPr>
        <w:t>4</w:t>
      </w:r>
      <w:r w:rsidR="00FA6BBD" w:rsidRPr="00920DD5">
        <w:rPr>
          <w:rFonts w:asciiTheme="majorHAnsi" w:hAnsiTheme="majorHAnsi"/>
          <w:sz w:val="18"/>
          <w:szCs w:val="18"/>
        </w:rPr>
        <w:t xml:space="preserve"> equaled $</w:t>
      </w:r>
      <w:r w:rsidR="00727E50">
        <w:rPr>
          <w:rFonts w:asciiTheme="majorHAnsi" w:hAnsiTheme="majorHAnsi"/>
          <w:sz w:val="18"/>
          <w:szCs w:val="18"/>
        </w:rPr>
        <w:t xml:space="preserve">1,700,000 </w:t>
      </w:r>
      <w:r w:rsidR="007A7734">
        <w:rPr>
          <w:rFonts w:asciiTheme="majorHAnsi" w:hAnsiTheme="majorHAnsi"/>
          <w:sz w:val="18"/>
          <w:szCs w:val="18"/>
        </w:rPr>
        <w:t>and $</w:t>
      </w:r>
      <w:r w:rsidR="00727E50">
        <w:rPr>
          <w:rFonts w:asciiTheme="majorHAnsi" w:hAnsiTheme="majorHAnsi"/>
          <w:sz w:val="18"/>
          <w:szCs w:val="18"/>
        </w:rPr>
        <w:t>85</w:t>
      </w:r>
      <w:r w:rsidR="004B2D6E">
        <w:rPr>
          <w:rFonts w:asciiTheme="majorHAnsi" w:hAnsiTheme="majorHAnsi"/>
          <w:sz w:val="18"/>
          <w:szCs w:val="18"/>
        </w:rPr>
        <w:t>,</w:t>
      </w:r>
      <w:r w:rsidR="00727E50">
        <w:rPr>
          <w:rFonts w:asciiTheme="majorHAnsi" w:hAnsiTheme="majorHAnsi"/>
          <w:sz w:val="18"/>
          <w:szCs w:val="18"/>
        </w:rPr>
        <w:t>0</w:t>
      </w:r>
      <w:r w:rsidR="004B2D6E">
        <w:rPr>
          <w:rFonts w:asciiTheme="majorHAnsi" w:hAnsiTheme="majorHAnsi"/>
          <w:sz w:val="18"/>
          <w:szCs w:val="18"/>
        </w:rPr>
        <w:t>00</w:t>
      </w:r>
      <w:r w:rsidR="007A7734">
        <w:rPr>
          <w:rFonts w:asciiTheme="majorHAnsi" w:hAnsiTheme="majorHAnsi"/>
          <w:sz w:val="18"/>
          <w:szCs w:val="18"/>
        </w:rPr>
        <w:t xml:space="preserve">,000, respectively, </w:t>
      </w:r>
      <w:r w:rsidR="00423A6C" w:rsidRPr="00920DD5">
        <w:rPr>
          <w:rFonts w:asciiTheme="majorHAnsi" w:hAnsiTheme="majorHAnsi"/>
          <w:sz w:val="18"/>
          <w:szCs w:val="18"/>
        </w:rPr>
        <w:t>and disclosed $</w:t>
      </w:r>
      <w:r w:rsidR="00727E50">
        <w:rPr>
          <w:rFonts w:asciiTheme="majorHAnsi" w:hAnsiTheme="majorHAnsi"/>
          <w:sz w:val="18"/>
          <w:szCs w:val="18"/>
        </w:rPr>
        <w:t>1,731,988</w:t>
      </w:r>
      <w:r w:rsidR="004B2D6E">
        <w:rPr>
          <w:rFonts w:asciiTheme="majorHAnsi" w:hAnsiTheme="majorHAnsi"/>
          <w:sz w:val="18"/>
          <w:szCs w:val="18"/>
        </w:rPr>
        <w:t xml:space="preserve"> </w:t>
      </w:r>
      <w:r w:rsidR="00423A6C" w:rsidRPr="00920DD5">
        <w:rPr>
          <w:rFonts w:asciiTheme="majorHAnsi" w:hAnsiTheme="majorHAnsi"/>
          <w:sz w:val="18"/>
          <w:szCs w:val="18"/>
        </w:rPr>
        <w:t xml:space="preserve">as deferred outflow related to contributions made after the measurement </w:t>
      </w:r>
      <w:r w:rsidR="00920DD5" w:rsidRPr="00920DD5">
        <w:rPr>
          <w:rFonts w:asciiTheme="majorHAnsi" w:hAnsiTheme="majorHAnsi"/>
          <w:sz w:val="18"/>
          <w:szCs w:val="18"/>
        </w:rPr>
        <w:t xml:space="preserve">date </w:t>
      </w:r>
      <w:r w:rsidR="00423A6C" w:rsidRPr="00920DD5">
        <w:rPr>
          <w:rFonts w:asciiTheme="majorHAnsi" w:hAnsiTheme="majorHAnsi"/>
          <w:sz w:val="18"/>
          <w:szCs w:val="18"/>
        </w:rPr>
        <w:t>last year.</w:t>
      </w:r>
    </w:p>
    <w:p w14:paraId="16C122AA" w14:textId="77777777" w:rsidR="00B136F3" w:rsidRPr="007F7A78" w:rsidRDefault="00B136F3">
      <w:pPr>
        <w:pStyle w:val="BodyText"/>
        <w:spacing w:before="7"/>
        <w:rPr>
          <w:rFonts w:asciiTheme="majorHAnsi" w:hAnsiTheme="majorHAnsi"/>
          <w:sz w:val="22"/>
          <w:szCs w:val="22"/>
        </w:rPr>
      </w:pPr>
    </w:p>
    <w:p w14:paraId="0A5B8E5B" w14:textId="77777777" w:rsidR="00A739ED" w:rsidRPr="007F7A78" w:rsidRDefault="00350BBB" w:rsidP="002D38C8">
      <w:pPr>
        <w:pStyle w:val="Heading2"/>
        <w:spacing w:before="1" w:line="276" w:lineRule="auto"/>
        <w:ind w:left="0"/>
        <w:rPr>
          <w:rFonts w:asciiTheme="majorHAnsi" w:hAnsiTheme="majorHAnsi" w:cs="Arial"/>
          <w:sz w:val="22"/>
          <w:szCs w:val="22"/>
        </w:rPr>
      </w:pPr>
      <w:r w:rsidRPr="007F7A78">
        <w:rPr>
          <w:rFonts w:asciiTheme="majorHAnsi" w:hAnsiTheme="majorHAnsi" w:cs="Arial"/>
          <w:sz w:val="22"/>
          <w:szCs w:val="22"/>
        </w:rPr>
        <w:t xml:space="preserve">In </w:t>
      </w:r>
      <w:r w:rsidR="00274CD9">
        <w:rPr>
          <w:rFonts w:asciiTheme="majorHAnsi" w:hAnsiTheme="majorHAnsi" w:cs="Arial"/>
          <w:sz w:val="22"/>
          <w:szCs w:val="22"/>
        </w:rPr>
        <w:t>S</w:t>
      </w:r>
      <w:r w:rsidRPr="007F7A78">
        <w:rPr>
          <w:rFonts w:asciiTheme="majorHAnsi" w:hAnsiTheme="majorHAnsi" w:cs="Arial"/>
          <w:sz w:val="22"/>
          <w:szCs w:val="22"/>
        </w:rPr>
        <w:t xml:space="preserve">tep 1, the Employer Number used above can be found in the Schedules and is the same number used </w:t>
      </w:r>
      <w:r w:rsidR="00274CD9">
        <w:rPr>
          <w:rFonts w:asciiTheme="majorHAnsi" w:hAnsiTheme="majorHAnsi" w:cs="Arial"/>
          <w:sz w:val="22"/>
          <w:szCs w:val="22"/>
        </w:rPr>
        <w:t xml:space="preserve">by </w:t>
      </w:r>
      <w:r w:rsidRPr="007F7A78">
        <w:rPr>
          <w:rFonts w:asciiTheme="majorHAnsi" w:hAnsiTheme="majorHAnsi" w:cs="Arial"/>
          <w:sz w:val="22"/>
          <w:szCs w:val="22"/>
        </w:rPr>
        <w:t>New Mexico E</w:t>
      </w:r>
      <w:r w:rsidR="00274CD9">
        <w:rPr>
          <w:rFonts w:asciiTheme="majorHAnsi" w:hAnsiTheme="majorHAnsi" w:cs="Arial"/>
          <w:sz w:val="22"/>
          <w:szCs w:val="22"/>
        </w:rPr>
        <w:t>ducational Retirement Board (E</w:t>
      </w:r>
      <w:r w:rsidRPr="007F7A78">
        <w:rPr>
          <w:rFonts w:asciiTheme="majorHAnsi" w:hAnsiTheme="majorHAnsi" w:cs="Arial"/>
          <w:sz w:val="22"/>
          <w:szCs w:val="22"/>
        </w:rPr>
        <w:t>RB</w:t>
      </w:r>
      <w:r w:rsidR="00274CD9">
        <w:rPr>
          <w:rFonts w:asciiTheme="majorHAnsi" w:hAnsiTheme="majorHAnsi" w:cs="Arial"/>
          <w:sz w:val="22"/>
          <w:szCs w:val="22"/>
        </w:rPr>
        <w:t>)</w:t>
      </w:r>
      <w:r w:rsidRPr="007F7A78">
        <w:rPr>
          <w:rFonts w:asciiTheme="majorHAnsi" w:hAnsiTheme="majorHAnsi" w:cs="Arial"/>
          <w:sz w:val="22"/>
          <w:szCs w:val="22"/>
        </w:rPr>
        <w:t xml:space="preserve"> or New Mexico P</w:t>
      </w:r>
      <w:r w:rsidR="00274CD9">
        <w:rPr>
          <w:rFonts w:asciiTheme="majorHAnsi" w:hAnsiTheme="majorHAnsi" w:cs="Arial"/>
          <w:sz w:val="22"/>
          <w:szCs w:val="22"/>
        </w:rPr>
        <w:t>ublic Employees Retirement Association (P</w:t>
      </w:r>
      <w:r w:rsidRPr="007F7A78">
        <w:rPr>
          <w:rFonts w:asciiTheme="majorHAnsi" w:hAnsiTheme="majorHAnsi" w:cs="Arial"/>
          <w:sz w:val="22"/>
          <w:szCs w:val="22"/>
        </w:rPr>
        <w:t>ERA</w:t>
      </w:r>
      <w:r w:rsidR="00274CD9">
        <w:rPr>
          <w:rFonts w:asciiTheme="majorHAnsi" w:hAnsiTheme="majorHAnsi" w:cs="Arial"/>
          <w:sz w:val="22"/>
          <w:szCs w:val="22"/>
        </w:rPr>
        <w:t>)</w:t>
      </w:r>
      <w:r w:rsidRPr="007F7A78">
        <w:rPr>
          <w:rFonts w:asciiTheme="majorHAnsi" w:hAnsiTheme="majorHAnsi" w:cs="Arial"/>
          <w:sz w:val="22"/>
          <w:szCs w:val="22"/>
        </w:rPr>
        <w:t xml:space="preserve"> for participating employers. The Schedules are available for download at the link provided above. Enter the Employer Number and the Employer Name should appear. This number is used as a reference to provide the journal entries and disclosure amounts</w:t>
      </w:r>
      <w:r w:rsidR="00863D6C" w:rsidRPr="007F7A78">
        <w:rPr>
          <w:rFonts w:asciiTheme="majorHAnsi" w:hAnsiTheme="majorHAnsi" w:cs="Arial"/>
          <w:sz w:val="22"/>
          <w:szCs w:val="22"/>
        </w:rPr>
        <w:t xml:space="preserve"> within the </w:t>
      </w:r>
      <w:r w:rsidR="00274CD9">
        <w:rPr>
          <w:rFonts w:asciiTheme="majorHAnsi" w:hAnsiTheme="majorHAnsi" w:cs="Arial"/>
          <w:sz w:val="22"/>
          <w:szCs w:val="22"/>
        </w:rPr>
        <w:t>j</w:t>
      </w:r>
      <w:r w:rsidR="00863D6C" w:rsidRPr="007F7A78">
        <w:rPr>
          <w:rFonts w:asciiTheme="majorHAnsi" w:hAnsiTheme="majorHAnsi" w:cs="Arial"/>
          <w:sz w:val="22"/>
          <w:szCs w:val="22"/>
        </w:rPr>
        <w:t xml:space="preserve">ournal </w:t>
      </w:r>
      <w:r w:rsidR="00274CD9">
        <w:rPr>
          <w:rFonts w:asciiTheme="majorHAnsi" w:hAnsiTheme="majorHAnsi" w:cs="Arial"/>
          <w:sz w:val="22"/>
          <w:szCs w:val="22"/>
        </w:rPr>
        <w:t>e</w:t>
      </w:r>
      <w:r w:rsidR="00863D6C" w:rsidRPr="007F7A78">
        <w:rPr>
          <w:rFonts w:asciiTheme="majorHAnsi" w:hAnsiTheme="majorHAnsi" w:cs="Arial"/>
          <w:sz w:val="22"/>
          <w:szCs w:val="22"/>
        </w:rPr>
        <w:t xml:space="preserve">ntry </w:t>
      </w:r>
      <w:r w:rsidR="00274CD9">
        <w:rPr>
          <w:rFonts w:asciiTheme="majorHAnsi" w:hAnsiTheme="majorHAnsi" w:cs="Arial"/>
          <w:sz w:val="22"/>
          <w:szCs w:val="22"/>
        </w:rPr>
        <w:t>t</w:t>
      </w:r>
      <w:r w:rsidR="00863D6C" w:rsidRPr="007F7A78">
        <w:rPr>
          <w:rFonts w:asciiTheme="majorHAnsi" w:hAnsiTheme="majorHAnsi" w:cs="Arial"/>
          <w:sz w:val="22"/>
          <w:szCs w:val="22"/>
        </w:rPr>
        <w:t>ool</w:t>
      </w:r>
      <w:r w:rsidRPr="007F7A78">
        <w:rPr>
          <w:rFonts w:asciiTheme="majorHAnsi" w:hAnsiTheme="majorHAnsi" w:cs="Arial"/>
          <w:sz w:val="22"/>
          <w:szCs w:val="22"/>
        </w:rPr>
        <w:t xml:space="preserve">. </w:t>
      </w:r>
    </w:p>
    <w:p w14:paraId="7570EE2E" w14:textId="77777777" w:rsidR="00350BBB" w:rsidRPr="007F7A78" w:rsidRDefault="00350BBB" w:rsidP="002D38C8">
      <w:pPr>
        <w:pStyle w:val="Heading2"/>
        <w:spacing w:before="1" w:line="276" w:lineRule="auto"/>
        <w:ind w:left="0"/>
        <w:rPr>
          <w:rFonts w:asciiTheme="majorHAnsi" w:hAnsiTheme="majorHAnsi"/>
          <w:sz w:val="22"/>
          <w:szCs w:val="22"/>
        </w:rPr>
      </w:pPr>
    </w:p>
    <w:p w14:paraId="086E529A" w14:textId="5EB95768" w:rsidR="00350BBB" w:rsidRPr="007F7A78" w:rsidRDefault="00350BBB" w:rsidP="002D38C8">
      <w:pPr>
        <w:pStyle w:val="Heading2"/>
        <w:spacing w:before="1" w:line="276" w:lineRule="auto"/>
        <w:ind w:left="0"/>
        <w:rPr>
          <w:rFonts w:asciiTheme="majorHAnsi" w:hAnsiTheme="majorHAnsi" w:cs="Arial"/>
          <w:sz w:val="22"/>
          <w:szCs w:val="22"/>
        </w:rPr>
      </w:pPr>
      <w:r w:rsidRPr="004C08B0">
        <w:rPr>
          <w:rFonts w:asciiTheme="majorHAnsi" w:hAnsiTheme="majorHAnsi" w:cs="Arial"/>
          <w:sz w:val="22"/>
          <w:szCs w:val="22"/>
        </w:rPr>
        <w:t xml:space="preserve">Step 2 requires an </w:t>
      </w:r>
      <w:r w:rsidR="00863D6C" w:rsidRPr="004C08B0">
        <w:rPr>
          <w:rFonts w:asciiTheme="majorHAnsi" w:hAnsiTheme="majorHAnsi" w:cs="Arial"/>
          <w:sz w:val="22"/>
          <w:szCs w:val="22"/>
        </w:rPr>
        <w:t xml:space="preserve">input of the participating employer’s contribution expense during the current </w:t>
      </w:r>
      <w:r w:rsidR="00920DD5" w:rsidRPr="004C08B0">
        <w:rPr>
          <w:rFonts w:asciiTheme="majorHAnsi" w:hAnsiTheme="majorHAnsi" w:cs="Arial"/>
          <w:sz w:val="22"/>
          <w:szCs w:val="22"/>
        </w:rPr>
        <w:t xml:space="preserve">fiscal year or from July 1, </w:t>
      </w:r>
      <w:proofErr w:type="gramStart"/>
      <w:r w:rsidR="00920DD5" w:rsidRPr="004C08B0">
        <w:rPr>
          <w:rFonts w:asciiTheme="majorHAnsi" w:hAnsiTheme="majorHAnsi" w:cs="Arial"/>
          <w:sz w:val="22"/>
          <w:szCs w:val="22"/>
        </w:rPr>
        <w:t>20</w:t>
      </w:r>
      <w:r w:rsidR="007A7734" w:rsidRPr="004C08B0">
        <w:rPr>
          <w:rFonts w:asciiTheme="majorHAnsi" w:hAnsiTheme="majorHAnsi" w:cs="Arial"/>
          <w:sz w:val="22"/>
          <w:szCs w:val="22"/>
        </w:rPr>
        <w:t>2</w:t>
      </w:r>
      <w:r w:rsidR="00727E50">
        <w:rPr>
          <w:rFonts w:asciiTheme="majorHAnsi" w:hAnsiTheme="majorHAnsi" w:cs="Arial"/>
          <w:sz w:val="22"/>
          <w:szCs w:val="22"/>
        </w:rPr>
        <w:t>3</w:t>
      </w:r>
      <w:proofErr w:type="gramEnd"/>
      <w:r w:rsidR="00920DD5" w:rsidRPr="004C08B0">
        <w:rPr>
          <w:rFonts w:asciiTheme="majorHAnsi" w:hAnsiTheme="majorHAnsi" w:cs="Arial"/>
          <w:sz w:val="22"/>
          <w:szCs w:val="22"/>
        </w:rPr>
        <w:t xml:space="preserve"> to June 30, 202</w:t>
      </w:r>
      <w:r w:rsidR="00727E50">
        <w:rPr>
          <w:rFonts w:asciiTheme="majorHAnsi" w:hAnsiTheme="majorHAnsi" w:cs="Arial"/>
          <w:sz w:val="22"/>
          <w:szCs w:val="22"/>
        </w:rPr>
        <w:t>4</w:t>
      </w:r>
      <w:r w:rsidR="007A7734" w:rsidRPr="004C08B0">
        <w:rPr>
          <w:rFonts w:asciiTheme="majorHAnsi" w:hAnsiTheme="majorHAnsi" w:cs="Arial"/>
          <w:sz w:val="22"/>
          <w:szCs w:val="22"/>
        </w:rPr>
        <w:t xml:space="preserve"> and the covered payroll for that same time frame. Covered payroll is defined as the payroll of employees that are provided OPEB through the OPEB plan.</w:t>
      </w:r>
      <w:r w:rsidR="00863D6C" w:rsidRPr="004C08B0">
        <w:rPr>
          <w:rFonts w:asciiTheme="majorHAnsi" w:hAnsiTheme="majorHAnsi" w:cs="Arial"/>
          <w:sz w:val="22"/>
          <w:szCs w:val="22"/>
        </w:rPr>
        <w:t xml:space="preserve"> The information should be available in the employer’s general ledger software</w:t>
      </w:r>
      <w:r w:rsidR="00B43588" w:rsidRPr="004C08B0">
        <w:rPr>
          <w:rFonts w:asciiTheme="majorHAnsi" w:hAnsiTheme="majorHAnsi" w:cs="Arial"/>
          <w:sz w:val="22"/>
          <w:szCs w:val="22"/>
        </w:rPr>
        <w:t xml:space="preserve"> or directly from the remittance advices sent to </w:t>
      </w:r>
      <w:r w:rsidR="00E2359D" w:rsidRPr="004C08B0">
        <w:rPr>
          <w:rFonts w:asciiTheme="majorHAnsi" w:hAnsiTheme="majorHAnsi" w:cs="Arial"/>
          <w:sz w:val="22"/>
          <w:szCs w:val="22"/>
        </w:rPr>
        <w:t>NM</w:t>
      </w:r>
      <w:r w:rsidR="00B43588" w:rsidRPr="004C08B0">
        <w:rPr>
          <w:rFonts w:asciiTheme="majorHAnsi" w:hAnsiTheme="majorHAnsi" w:cs="Arial"/>
          <w:sz w:val="22"/>
          <w:szCs w:val="22"/>
        </w:rPr>
        <w:t>RHCA with your contributions</w:t>
      </w:r>
      <w:r w:rsidR="00863D6C" w:rsidRPr="004C08B0">
        <w:rPr>
          <w:rFonts w:asciiTheme="majorHAnsi" w:hAnsiTheme="majorHAnsi" w:cs="Arial"/>
          <w:sz w:val="22"/>
          <w:szCs w:val="22"/>
        </w:rPr>
        <w:t>.</w:t>
      </w:r>
    </w:p>
    <w:p w14:paraId="0B63830A" w14:textId="77777777" w:rsidR="00863D6C" w:rsidRPr="007F7A78" w:rsidRDefault="00863D6C" w:rsidP="002D38C8">
      <w:pPr>
        <w:pStyle w:val="Heading2"/>
        <w:spacing w:before="1" w:line="276" w:lineRule="auto"/>
        <w:ind w:left="0"/>
        <w:rPr>
          <w:rFonts w:asciiTheme="majorHAnsi" w:hAnsiTheme="majorHAnsi" w:cs="Arial"/>
          <w:sz w:val="22"/>
          <w:szCs w:val="22"/>
        </w:rPr>
      </w:pPr>
    </w:p>
    <w:p w14:paraId="03A6C6BE" w14:textId="6F53B6BC" w:rsidR="00BD06DC" w:rsidRDefault="00FA6BBD" w:rsidP="002D38C8">
      <w:pPr>
        <w:pStyle w:val="Heading2"/>
        <w:spacing w:before="1" w:line="276" w:lineRule="auto"/>
        <w:ind w:left="0"/>
        <w:rPr>
          <w:rFonts w:asciiTheme="majorHAnsi" w:hAnsiTheme="majorHAnsi" w:cs="Arial"/>
          <w:sz w:val="22"/>
          <w:szCs w:val="22"/>
        </w:rPr>
      </w:pPr>
      <w:r>
        <w:rPr>
          <w:rFonts w:asciiTheme="majorHAnsi" w:hAnsiTheme="majorHAnsi" w:cs="Arial"/>
          <w:sz w:val="22"/>
          <w:szCs w:val="22"/>
        </w:rPr>
        <w:t xml:space="preserve">Step 3 requires an input from the employer’s prior year footnote disclosures. It should be the amount disclosed as “Contributions made after the measurement date” in the prior year financial statement disclosures. </w:t>
      </w:r>
      <w:r w:rsidR="00BD06DC">
        <w:rPr>
          <w:rFonts w:asciiTheme="majorHAnsi" w:hAnsiTheme="majorHAnsi" w:cs="Arial"/>
          <w:sz w:val="22"/>
          <w:szCs w:val="22"/>
        </w:rPr>
        <w:t xml:space="preserve"> This should be the same amount or close to the contribution amount as the audited Allocation Schedules </w:t>
      </w:r>
      <w:r w:rsidR="00920DD5">
        <w:rPr>
          <w:rFonts w:asciiTheme="majorHAnsi" w:hAnsiTheme="majorHAnsi" w:cs="Arial"/>
          <w:sz w:val="22"/>
          <w:szCs w:val="22"/>
        </w:rPr>
        <w:t xml:space="preserve">for the year ended June 30, </w:t>
      </w:r>
      <w:proofErr w:type="gramStart"/>
      <w:r w:rsidR="00920DD5">
        <w:rPr>
          <w:rFonts w:asciiTheme="majorHAnsi" w:hAnsiTheme="majorHAnsi" w:cs="Arial"/>
          <w:sz w:val="22"/>
          <w:szCs w:val="22"/>
        </w:rPr>
        <w:t>20</w:t>
      </w:r>
      <w:r w:rsidR="00B43588">
        <w:rPr>
          <w:rFonts w:asciiTheme="majorHAnsi" w:hAnsiTheme="majorHAnsi" w:cs="Arial"/>
          <w:sz w:val="22"/>
          <w:szCs w:val="22"/>
        </w:rPr>
        <w:t>2</w:t>
      </w:r>
      <w:r w:rsidR="00727E50">
        <w:rPr>
          <w:rFonts w:asciiTheme="majorHAnsi" w:hAnsiTheme="majorHAnsi" w:cs="Arial"/>
          <w:sz w:val="22"/>
          <w:szCs w:val="22"/>
        </w:rPr>
        <w:t>3</w:t>
      </w:r>
      <w:proofErr w:type="gramEnd"/>
      <w:r w:rsidR="00BD06DC">
        <w:rPr>
          <w:rFonts w:asciiTheme="majorHAnsi" w:hAnsiTheme="majorHAnsi" w:cs="Arial"/>
          <w:sz w:val="22"/>
          <w:szCs w:val="22"/>
        </w:rPr>
        <w:t xml:space="preserve"> shown on page 3 through 7. It is likely that these two amounts will not match based on timing differences or accrual entries recorded at the employer or </w:t>
      </w:r>
      <w:r w:rsidR="00D45B9D">
        <w:rPr>
          <w:rFonts w:asciiTheme="majorHAnsi" w:hAnsiTheme="majorHAnsi" w:cs="Arial"/>
          <w:sz w:val="22"/>
          <w:szCs w:val="22"/>
        </w:rPr>
        <w:t>NM</w:t>
      </w:r>
      <w:r w:rsidR="00BD06DC">
        <w:rPr>
          <w:rFonts w:asciiTheme="majorHAnsi" w:hAnsiTheme="majorHAnsi" w:cs="Arial"/>
          <w:sz w:val="22"/>
          <w:szCs w:val="22"/>
        </w:rPr>
        <w:t>RHCA. The journal entry in step 4 accounts for these differences and the differences should be recorded to OPEB expense</w:t>
      </w:r>
      <w:r w:rsidR="00920DD5">
        <w:rPr>
          <w:rFonts w:asciiTheme="majorHAnsi" w:hAnsiTheme="majorHAnsi" w:cs="Arial"/>
          <w:sz w:val="22"/>
          <w:szCs w:val="22"/>
        </w:rPr>
        <w:t xml:space="preserve"> or OPEB income</w:t>
      </w:r>
      <w:r w:rsidR="00BD06DC">
        <w:rPr>
          <w:rFonts w:asciiTheme="majorHAnsi" w:hAnsiTheme="majorHAnsi" w:cs="Arial"/>
          <w:sz w:val="22"/>
          <w:szCs w:val="22"/>
        </w:rPr>
        <w:t>.</w:t>
      </w:r>
    </w:p>
    <w:p w14:paraId="30230BAA" w14:textId="77777777" w:rsidR="00BD06DC" w:rsidRDefault="00BD06DC" w:rsidP="002D38C8">
      <w:pPr>
        <w:pStyle w:val="Heading2"/>
        <w:spacing w:before="1" w:line="276" w:lineRule="auto"/>
        <w:ind w:left="0"/>
        <w:rPr>
          <w:rFonts w:asciiTheme="majorHAnsi" w:hAnsiTheme="majorHAnsi" w:cs="Arial"/>
          <w:sz w:val="22"/>
          <w:szCs w:val="22"/>
        </w:rPr>
      </w:pPr>
    </w:p>
    <w:p w14:paraId="4B834BC7" w14:textId="77777777" w:rsidR="00A739ED" w:rsidRPr="007F7A78" w:rsidRDefault="00BD06DC" w:rsidP="002D38C8">
      <w:pPr>
        <w:pStyle w:val="Heading2"/>
        <w:spacing w:before="1" w:line="276" w:lineRule="auto"/>
        <w:ind w:left="0"/>
        <w:rPr>
          <w:rFonts w:asciiTheme="majorHAnsi" w:hAnsiTheme="majorHAnsi" w:cs="Arial"/>
          <w:sz w:val="22"/>
          <w:szCs w:val="22"/>
        </w:rPr>
      </w:pPr>
      <w:r>
        <w:rPr>
          <w:rFonts w:asciiTheme="majorHAnsi" w:hAnsiTheme="majorHAnsi" w:cs="Arial"/>
          <w:sz w:val="22"/>
          <w:szCs w:val="22"/>
        </w:rPr>
        <w:t>Step 4</w:t>
      </w:r>
      <w:r w:rsidR="00863D6C" w:rsidRPr="007F7A78">
        <w:rPr>
          <w:rFonts w:asciiTheme="majorHAnsi" w:hAnsiTheme="majorHAnsi" w:cs="Arial"/>
          <w:sz w:val="22"/>
          <w:szCs w:val="22"/>
        </w:rPr>
        <w:t xml:space="preserve"> through 5 directs the user to record the</w:t>
      </w:r>
      <w:r>
        <w:rPr>
          <w:rFonts w:asciiTheme="majorHAnsi" w:hAnsiTheme="majorHAnsi" w:cs="Arial"/>
          <w:sz w:val="22"/>
          <w:szCs w:val="22"/>
        </w:rPr>
        <w:t xml:space="preserve"> current year journal entries. </w:t>
      </w:r>
      <w:r w:rsidR="00742E33" w:rsidRPr="007F7A78">
        <w:rPr>
          <w:rFonts w:asciiTheme="majorHAnsi" w:hAnsiTheme="majorHAnsi" w:cs="Arial"/>
          <w:sz w:val="22"/>
          <w:szCs w:val="22"/>
        </w:rPr>
        <w:t>Figure 3 illustrates the journal entries the tool generates</w:t>
      </w:r>
      <w:r w:rsidR="00863D6C" w:rsidRPr="007F7A78">
        <w:rPr>
          <w:rFonts w:asciiTheme="majorHAnsi" w:hAnsiTheme="majorHAnsi" w:cs="Arial"/>
          <w:sz w:val="22"/>
          <w:szCs w:val="22"/>
        </w:rPr>
        <w:t xml:space="preserve"> on the next page</w:t>
      </w:r>
      <w:r w:rsidR="00742E33" w:rsidRPr="007F7A78">
        <w:rPr>
          <w:rFonts w:asciiTheme="majorHAnsi" w:hAnsiTheme="majorHAnsi" w:cs="Arial"/>
          <w:sz w:val="22"/>
          <w:szCs w:val="22"/>
        </w:rPr>
        <w:t>.</w:t>
      </w:r>
    </w:p>
    <w:p w14:paraId="06FEF507" w14:textId="77777777" w:rsidR="00885438" w:rsidRPr="007F7A78" w:rsidRDefault="00885438" w:rsidP="007F7A78">
      <w:pPr>
        <w:rPr>
          <w:rFonts w:asciiTheme="majorHAnsi" w:hAnsiTheme="majorHAnsi"/>
          <w:i/>
          <w:color w:val="1F497C"/>
        </w:rPr>
      </w:pPr>
      <w:r w:rsidRPr="007F7A78">
        <w:rPr>
          <w:rFonts w:asciiTheme="majorHAnsi" w:hAnsiTheme="majorHAnsi"/>
          <w:i/>
          <w:color w:val="1F497C"/>
        </w:rPr>
        <w:br w:type="page"/>
      </w:r>
    </w:p>
    <w:p w14:paraId="7E0AB7F3" w14:textId="036685EB" w:rsidR="00A739ED" w:rsidRPr="00BD4E34" w:rsidRDefault="00742E33" w:rsidP="00863D6C">
      <w:pPr>
        <w:spacing w:before="275"/>
        <w:ind w:left="140"/>
        <w:rPr>
          <w:rFonts w:asciiTheme="majorHAnsi" w:hAnsiTheme="majorHAnsi"/>
          <w:i/>
          <w:color w:val="1F497C"/>
        </w:rPr>
      </w:pPr>
      <w:r w:rsidRPr="00BD4E34">
        <w:rPr>
          <w:rFonts w:asciiTheme="majorHAnsi" w:hAnsiTheme="majorHAnsi"/>
          <w:i/>
          <w:color w:val="1F497C"/>
        </w:rPr>
        <w:lastRenderedPageBreak/>
        <w:t>Figure 3</w:t>
      </w:r>
      <w:r w:rsidR="00010917">
        <w:rPr>
          <w:rFonts w:asciiTheme="majorHAnsi" w:hAnsiTheme="majorHAnsi"/>
          <w:i/>
          <w:color w:val="1F497C"/>
        </w:rPr>
        <w:t>:</w:t>
      </w:r>
      <w:r w:rsidRPr="00BD4E34">
        <w:rPr>
          <w:rFonts w:asciiTheme="majorHAnsi" w:hAnsiTheme="majorHAnsi"/>
          <w:i/>
          <w:color w:val="1F497C"/>
        </w:rPr>
        <w:t xml:space="preserve"> Sample Journal Entries</w:t>
      </w:r>
    </w:p>
    <w:p w14:paraId="22A427A5" w14:textId="75467FFB" w:rsidR="004B2D6E" w:rsidRDefault="00E70DA4" w:rsidP="00E510F0">
      <w:pPr>
        <w:spacing w:before="275"/>
        <w:ind w:left="140"/>
        <w:rPr>
          <w:rFonts w:ascii="Cambria" w:eastAsia="Times New Roman" w:hAnsi="Cambria"/>
        </w:rPr>
      </w:pPr>
      <w:r w:rsidRPr="00E70DA4">
        <w:drawing>
          <wp:inline distT="0" distB="0" distL="0" distR="0" wp14:anchorId="47348C3A" wp14:editId="06D70A7B">
            <wp:extent cx="6172200" cy="2063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2200" cy="2063750"/>
                    </a:xfrm>
                    <a:prstGeom prst="rect">
                      <a:avLst/>
                    </a:prstGeom>
                    <a:noFill/>
                    <a:ln>
                      <a:noFill/>
                    </a:ln>
                  </pic:spPr>
                </pic:pic>
              </a:graphicData>
            </a:graphic>
          </wp:inline>
        </w:drawing>
      </w:r>
    </w:p>
    <w:p w14:paraId="3939BE1B" w14:textId="3FD47F98" w:rsidR="00885438" w:rsidRPr="007B4778" w:rsidRDefault="00885438" w:rsidP="00E510F0">
      <w:pPr>
        <w:spacing w:before="275"/>
        <w:ind w:left="140"/>
        <w:rPr>
          <w:rFonts w:ascii="Cambria" w:hAnsi="Cambria"/>
        </w:rPr>
      </w:pPr>
      <w:r w:rsidRPr="00E510F0">
        <w:rPr>
          <w:rFonts w:ascii="Cambria" w:eastAsia="Times New Roman" w:hAnsi="Cambria"/>
        </w:rPr>
        <w:t xml:space="preserve">Please note the rounding impact generated above. This is due to </w:t>
      </w:r>
      <w:r w:rsidR="00274CD9" w:rsidRPr="00E510F0">
        <w:rPr>
          <w:rFonts w:ascii="Cambria" w:eastAsia="Times New Roman" w:hAnsi="Cambria"/>
        </w:rPr>
        <w:t xml:space="preserve">formula formatting that </w:t>
      </w:r>
      <w:r w:rsidRPr="00E510F0">
        <w:rPr>
          <w:rFonts w:ascii="Cambria" w:eastAsia="Times New Roman" w:hAnsi="Cambria"/>
        </w:rPr>
        <w:t>round</w:t>
      </w:r>
      <w:r w:rsidR="00274CD9" w:rsidRPr="00E510F0">
        <w:rPr>
          <w:rFonts w:ascii="Cambria" w:eastAsia="Times New Roman" w:hAnsi="Cambria"/>
        </w:rPr>
        <w:t>s</w:t>
      </w:r>
      <w:r w:rsidRPr="00E510F0">
        <w:rPr>
          <w:rFonts w:ascii="Cambria" w:eastAsia="Times New Roman" w:hAnsi="Cambria"/>
        </w:rPr>
        <w:t xml:space="preserve"> the allocation percentage to </w:t>
      </w:r>
      <w:r w:rsidR="00274CD9" w:rsidRPr="00E510F0">
        <w:rPr>
          <w:rFonts w:ascii="Cambria" w:eastAsia="Times New Roman" w:hAnsi="Cambria"/>
        </w:rPr>
        <w:t>five</w:t>
      </w:r>
      <w:r w:rsidRPr="00E510F0">
        <w:rPr>
          <w:rFonts w:ascii="Cambria" w:eastAsia="Times New Roman" w:hAnsi="Cambria"/>
        </w:rPr>
        <w:t xml:space="preserve"> decimal places</w:t>
      </w:r>
      <w:r w:rsidR="00423A6C" w:rsidRPr="00E510F0">
        <w:rPr>
          <w:rFonts w:ascii="Cambria" w:eastAsia="Times New Roman" w:hAnsi="Cambria"/>
        </w:rPr>
        <w:t xml:space="preserve"> and/or difference between </w:t>
      </w:r>
      <w:r w:rsidR="00D45B9D" w:rsidRPr="00E510F0">
        <w:rPr>
          <w:rFonts w:ascii="Cambria" w:eastAsia="Times New Roman" w:hAnsi="Cambria"/>
        </w:rPr>
        <w:t>NM</w:t>
      </w:r>
      <w:r w:rsidR="00423A6C" w:rsidRPr="00E510F0">
        <w:rPr>
          <w:rFonts w:ascii="Cambria" w:eastAsia="Times New Roman" w:hAnsi="Cambria"/>
        </w:rPr>
        <w:t>RHCA report contribution income and the employers deferred outflow related to contributions for the year end</w:t>
      </w:r>
      <w:r w:rsidR="004E5280" w:rsidRPr="00E510F0">
        <w:rPr>
          <w:rFonts w:ascii="Cambria" w:eastAsia="Times New Roman" w:hAnsi="Cambria"/>
        </w:rPr>
        <w:t xml:space="preserve">ed </w:t>
      </w:r>
      <w:r w:rsidR="00A864EF" w:rsidRPr="00E510F0">
        <w:rPr>
          <w:rFonts w:ascii="Cambria" w:eastAsia="Times New Roman" w:hAnsi="Cambria"/>
        </w:rPr>
        <w:t>June 30, 20</w:t>
      </w:r>
      <w:r w:rsidR="00B43588" w:rsidRPr="00E510F0">
        <w:rPr>
          <w:rFonts w:ascii="Cambria" w:eastAsia="Times New Roman" w:hAnsi="Cambria"/>
        </w:rPr>
        <w:t>2</w:t>
      </w:r>
      <w:r w:rsidR="00EF06DE">
        <w:rPr>
          <w:rFonts w:ascii="Cambria" w:eastAsia="Times New Roman" w:hAnsi="Cambria"/>
        </w:rPr>
        <w:t>3</w:t>
      </w:r>
      <w:r w:rsidRPr="00E510F0">
        <w:rPr>
          <w:rFonts w:ascii="Cambria" w:eastAsia="Times New Roman" w:hAnsi="Cambria"/>
        </w:rPr>
        <w:t>. The impact should be recorded to OPEB expen</w:t>
      </w:r>
      <w:r w:rsidR="00423A6C" w:rsidRPr="00E510F0">
        <w:rPr>
          <w:rFonts w:ascii="Cambria" w:eastAsia="Times New Roman" w:hAnsi="Cambria"/>
        </w:rPr>
        <w:t>se</w:t>
      </w:r>
      <w:r w:rsidR="00A864EF" w:rsidRPr="00E510F0">
        <w:rPr>
          <w:rFonts w:ascii="Cambria" w:eastAsia="Times New Roman" w:hAnsi="Cambria"/>
        </w:rPr>
        <w:t xml:space="preserve"> (income)</w:t>
      </w:r>
      <w:r w:rsidR="00423A6C" w:rsidRPr="00E510F0">
        <w:rPr>
          <w:rFonts w:ascii="Cambria" w:eastAsia="Times New Roman" w:hAnsi="Cambria"/>
        </w:rPr>
        <w:t xml:space="preserve"> to ensure the journal entry</w:t>
      </w:r>
      <w:r w:rsidRPr="00E510F0">
        <w:rPr>
          <w:rFonts w:ascii="Cambria" w:eastAsia="Times New Roman" w:hAnsi="Cambria"/>
        </w:rPr>
        <w:t xml:space="preserve"> balance</w:t>
      </w:r>
      <w:r w:rsidR="00423A6C" w:rsidRPr="00E510F0">
        <w:rPr>
          <w:rFonts w:ascii="Cambria" w:eastAsia="Times New Roman" w:hAnsi="Cambria"/>
        </w:rPr>
        <w:t>s</w:t>
      </w:r>
      <w:r w:rsidRPr="00E510F0">
        <w:rPr>
          <w:rFonts w:ascii="Cambria" w:eastAsia="Times New Roman" w:hAnsi="Cambria"/>
        </w:rPr>
        <w:t>. In the example above the OPEB ex</w:t>
      </w:r>
      <w:r w:rsidR="00423A6C" w:rsidRPr="00E510F0">
        <w:rPr>
          <w:rFonts w:ascii="Cambria" w:eastAsia="Times New Roman" w:hAnsi="Cambria"/>
        </w:rPr>
        <w:t>pense</w:t>
      </w:r>
      <w:r w:rsidR="00A864EF" w:rsidRPr="00E510F0">
        <w:rPr>
          <w:rFonts w:ascii="Cambria" w:eastAsia="Times New Roman" w:hAnsi="Cambria"/>
        </w:rPr>
        <w:t xml:space="preserve"> (income)</w:t>
      </w:r>
      <w:r w:rsidR="00423A6C" w:rsidRPr="00E510F0">
        <w:rPr>
          <w:rFonts w:ascii="Cambria" w:eastAsia="Times New Roman" w:hAnsi="Cambria"/>
        </w:rPr>
        <w:t xml:space="preserve"> that should be recorded as a credit of </w:t>
      </w:r>
      <w:r w:rsidRPr="00E510F0">
        <w:rPr>
          <w:rFonts w:ascii="Cambria" w:eastAsia="Times New Roman" w:hAnsi="Cambria"/>
        </w:rPr>
        <w:t>$</w:t>
      </w:r>
      <w:r w:rsidR="00727E50">
        <w:rPr>
          <w:rFonts w:ascii="Cambria" w:eastAsia="Times New Roman" w:hAnsi="Cambria"/>
        </w:rPr>
        <w:t>7,</w:t>
      </w:r>
      <w:r w:rsidR="00E70DA4">
        <w:rPr>
          <w:rFonts w:ascii="Cambria" w:eastAsia="Times New Roman" w:hAnsi="Cambria"/>
        </w:rPr>
        <w:t>524,099</w:t>
      </w:r>
      <w:r w:rsidR="00423A6C" w:rsidRPr="00E510F0">
        <w:rPr>
          <w:rFonts w:ascii="Cambria" w:eastAsia="Times New Roman" w:hAnsi="Cambria"/>
        </w:rPr>
        <w:t xml:space="preserve"> in the actual journal entry</w:t>
      </w:r>
      <w:r w:rsidRPr="00E510F0">
        <w:rPr>
          <w:rFonts w:ascii="Cambria" w:eastAsia="Times New Roman" w:hAnsi="Cambria"/>
        </w:rPr>
        <w:t>.</w:t>
      </w:r>
      <w:r w:rsidRPr="007B4778">
        <w:rPr>
          <w:rFonts w:ascii="Cambria" w:hAnsi="Cambria"/>
        </w:rPr>
        <w:t xml:space="preserve"> </w:t>
      </w:r>
    </w:p>
    <w:p w14:paraId="773EE01B" w14:textId="77777777" w:rsidR="00885438" w:rsidRPr="007B4778" w:rsidRDefault="00885438" w:rsidP="007B4778">
      <w:pPr>
        <w:pStyle w:val="Heading2"/>
        <w:spacing w:line="276" w:lineRule="auto"/>
        <w:ind w:left="139"/>
        <w:rPr>
          <w:rFonts w:ascii="Cambria" w:hAnsi="Cambria" w:cs="Arial"/>
          <w:sz w:val="22"/>
          <w:szCs w:val="22"/>
        </w:rPr>
      </w:pPr>
    </w:p>
    <w:p w14:paraId="422864E5" w14:textId="77777777" w:rsidR="00A739ED" w:rsidRPr="007B4778" w:rsidRDefault="00742E33" w:rsidP="007B4778">
      <w:pPr>
        <w:pStyle w:val="Heading2"/>
        <w:spacing w:line="276" w:lineRule="auto"/>
        <w:ind w:left="139"/>
        <w:rPr>
          <w:rFonts w:ascii="Cambria" w:hAnsi="Cambria" w:cs="Arial"/>
          <w:sz w:val="22"/>
          <w:szCs w:val="22"/>
        </w:rPr>
      </w:pPr>
      <w:r w:rsidRPr="007B4778">
        <w:rPr>
          <w:rFonts w:ascii="Cambria" w:hAnsi="Cambria" w:cs="Arial"/>
          <w:sz w:val="22"/>
          <w:szCs w:val="22"/>
        </w:rPr>
        <w:t xml:space="preserve">Notice that the account descriptions </w:t>
      </w:r>
      <w:r w:rsidR="00885438" w:rsidRPr="007B4778">
        <w:rPr>
          <w:rFonts w:ascii="Cambria" w:hAnsi="Cambria" w:cs="Arial"/>
          <w:sz w:val="22"/>
          <w:szCs w:val="22"/>
        </w:rPr>
        <w:t xml:space="preserve">used in the tool </w:t>
      </w:r>
      <w:r w:rsidRPr="007B4778">
        <w:rPr>
          <w:rFonts w:ascii="Cambria" w:hAnsi="Cambria" w:cs="Arial"/>
          <w:sz w:val="22"/>
          <w:szCs w:val="22"/>
        </w:rPr>
        <w:t xml:space="preserve">are generic. </w:t>
      </w:r>
      <w:r w:rsidR="00274CD9">
        <w:rPr>
          <w:rFonts w:ascii="Cambria" w:hAnsi="Cambria" w:cs="Arial"/>
          <w:sz w:val="22"/>
          <w:szCs w:val="22"/>
        </w:rPr>
        <w:t>T</w:t>
      </w:r>
      <w:r w:rsidRPr="007B4778">
        <w:rPr>
          <w:rFonts w:ascii="Cambria" w:hAnsi="Cambria" w:cs="Arial"/>
          <w:sz w:val="22"/>
          <w:szCs w:val="22"/>
        </w:rPr>
        <w:t xml:space="preserve">he accounts </w:t>
      </w:r>
      <w:r w:rsidR="00274CD9">
        <w:rPr>
          <w:rFonts w:ascii="Cambria" w:hAnsi="Cambria" w:cs="Arial"/>
          <w:sz w:val="22"/>
          <w:szCs w:val="22"/>
        </w:rPr>
        <w:t>noted may represent</w:t>
      </w:r>
      <w:r w:rsidRPr="007B4778">
        <w:rPr>
          <w:rFonts w:ascii="Cambria" w:hAnsi="Cambria" w:cs="Arial"/>
          <w:sz w:val="22"/>
          <w:szCs w:val="22"/>
        </w:rPr>
        <w:t xml:space="preserve"> a higher level of summary than </w:t>
      </w:r>
      <w:r w:rsidR="00885438" w:rsidRPr="007B4778">
        <w:rPr>
          <w:rFonts w:ascii="Cambria" w:hAnsi="Cambria" w:cs="Arial"/>
          <w:sz w:val="22"/>
          <w:szCs w:val="22"/>
        </w:rPr>
        <w:t xml:space="preserve">the </w:t>
      </w:r>
      <w:r w:rsidRPr="007B4778">
        <w:rPr>
          <w:rFonts w:ascii="Cambria" w:hAnsi="Cambria" w:cs="Arial"/>
          <w:sz w:val="22"/>
          <w:szCs w:val="22"/>
        </w:rPr>
        <w:t>chart of accounts</w:t>
      </w:r>
      <w:r w:rsidR="00885438" w:rsidRPr="007B4778">
        <w:rPr>
          <w:rFonts w:ascii="Cambria" w:hAnsi="Cambria" w:cs="Arial"/>
          <w:sz w:val="22"/>
          <w:szCs w:val="22"/>
        </w:rPr>
        <w:t xml:space="preserve"> used </w:t>
      </w:r>
      <w:r w:rsidR="00274CD9">
        <w:rPr>
          <w:rFonts w:ascii="Cambria" w:hAnsi="Cambria" w:cs="Arial"/>
          <w:sz w:val="22"/>
          <w:szCs w:val="22"/>
        </w:rPr>
        <w:t>by</w:t>
      </w:r>
      <w:r w:rsidR="00885438" w:rsidRPr="007B4778">
        <w:rPr>
          <w:rFonts w:ascii="Cambria" w:hAnsi="Cambria" w:cs="Arial"/>
          <w:sz w:val="22"/>
          <w:szCs w:val="22"/>
        </w:rPr>
        <w:t xml:space="preserve"> participating employers</w:t>
      </w:r>
      <w:r w:rsidRPr="007B4778">
        <w:rPr>
          <w:rFonts w:ascii="Cambria" w:hAnsi="Cambria" w:cs="Arial"/>
          <w:sz w:val="22"/>
          <w:szCs w:val="22"/>
        </w:rPr>
        <w:t xml:space="preserve">. In addition, </w:t>
      </w:r>
      <w:r w:rsidR="00885438" w:rsidRPr="007B4778">
        <w:rPr>
          <w:rFonts w:ascii="Cambria" w:hAnsi="Cambria" w:cs="Arial"/>
          <w:sz w:val="22"/>
          <w:szCs w:val="22"/>
        </w:rPr>
        <w:t xml:space="preserve">only a few elements </w:t>
      </w:r>
      <w:r w:rsidRPr="007B4778">
        <w:rPr>
          <w:rFonts w:ascii="Cambria" w:hAnsi="Cambria" w:cs="Arial"/>
          <w:sz w:val="22"/>
          <w:szCs w:val="22"/>
        </w:rPr>
        <w:t>from the tool’s entries</w:t>
      </w:r>
      <w:r w:rsidR="00885438" w:rsidRPr="007B4778">
        <w:rPr>
          <w:rFonts w:ascii="Cambria" w:hAnsi="Cambria" w:cs="Arial"/>
          <w:sz w:val="22"/>
          <w:szCs w:val="22"/>
        </w:rPr>
        <w:t xml:space="preserve"> might be applicable</w:t>
      </w:r>
      <w:r w:rsidRPr="007B4778">
        <w:rPr>
          <w:rFonts w:ascii="Cambria" w:hAnsi="Cambria" w:cs="Arial"/>
          <w:sz w:val="22"/>
          <w:szCs w:val="22"/>
        </w:rPr>
        <w:t xml:space="preserve">, depending on </w:t>
      </w:r>
      <w:r w:rsidR="00885438" w:rsidRPr="007B4778">
        <w:rPr>
          <w:rFonts w:ascii="Cambria" w:hAnsi="Cambria" w:cs="Arial"/>
          <w:sz w:val="22"/>
          <w:szCs w:val="22"/>
        </w:rPr>
        <w:t>the</w:t>
      </w:r>
      <w:r w:rsidRPr="007B4778">
        <w:rPr>
          <w:rFonts w:ascii="Cambria" w:hAnsi="Cambria" w:cs="Arial"/>
          <w:sz w:val="22"/>
          <w:szCs w:val="22"/>
        </w:rPr>
        <w:t xml:space="preserve"> accounting processes</w:t>
      </w:r>
      <w:r w:rsidR="00885438" w:rsidRPr="007B4778">
        <w:rPr>
          <w:rFonts w:ascii="Cambria" w:hAnsi="Cambria" w:cs="Arial"/>
          <w:sz w:val="22"/>
          <w:szCs w:val="22"/>
        </w:rPr>
        <w:t xml:space="preserve"> used</w:t>
      </w:r>
      <w:r w:rsidRPr="007B4778">
        <w:rPr>
          <w:rFonts w:ascii="Cambria" w:hAnsi="Cambria" w:cs="Arial"/>
          <w:sz w:val="22"/>
          <w:szCs w:val="22"/>
        </w:rPr>
        <w:t xml:space="preserve">. For example, </w:t>
      </w:r>
      <w:r w:rsidR="00885438" w:rsidRPr="007B4778">
        <w:rPr>
          <w:rFonts w:ascii="Cambria" w:hAnsi="Cambria" w:cs="Arial"/>
          <w:sz w:val="22"/>
          <w:szCs w:val="22"/>
        </w:rPr>
        <w:t xml:space="preserve">if </w:t>
      </w:r>
      <w:r w:rsidRPr="007B4778">
        <w:rPr>
          <w:rFonts w:ascii="Cambria" w:hAnsi="Cambria" w:cs="Arial"/>
          <w:sz w:val="22"/>
          <w:szCs w:val="22"/>
        </w:rPr>
        <w:t>contributions</w:t>
      </w:r>
      <w:r w:rsidR="00885438" w:rsidRPr="007B4778">
        <w:rPr>
          <w:rFonts w:ascii="Cambria" w:hAnsi="Cambria" w:cs="Arial"/>
          <w:sz w:val="22"/>
          <w:szCs w:val="22"/>
        </w:rPr>
        <w:t xml:space="preserve"> are deferred</w:t>
      </w:r>
      <w:r w:rsidRPr="007B4778">
        <w:rPr>
          <w:rFonts w:ascii="Cambria" w:hAnsi="Cambria" w:cs="Arial"/>
          <w:sz w:val="22"/>
          <w:szCs w:val="22"/>
        </w:rPr>
        <w:t xml:space="preserve"> between the measurement date and the reporting date (instead of recording them as expenditures), </w:t>
      </w:r>
      <w:r w:rsidR="00885438" w:rsidRPr="007B4778">
        <w:rPr>
          <w:rFonts w:ascii="Cambria" w:hAnsi="Cambria" w:cs="Arial"/>
          <w:sz w:val="22"/>
          <w:szCs w:val="22"/>
        </w:rPr>
        <w:t xml:space="preserve">Step 5 </w:t>
      </w:r>
      <w:r w:rsidRPr="007B4778">
        <w:rPr>
          <w:rFonts w:ascii="Cambria" w:hAnsi="Cambria" w:cs="Arial"/>
          <w:sz w:val="22"/>
          <w:szCs w:val="22"/>
        </w:rPr>
        <w:t xml:space="preserve">will </w:t>
      </w:r>
      <w:r w:rsidR="00885438" w:rsidRPr="007B4778">
        <w:rPr>
          <w:rFonts w:ascii="Cambria" w:hAnsi="Cambria" w:cs="Arial"/>
          <w:sz w:val="22"/>
          <w:szCs w:val="22"/>
        </w:rPr>
        <w:t xml:space="preserve">be skipped. </w:t>
      </w:r>
      <w:r w:rsidRPr="007B4778">
        <w:rPr>
          <w:rFonts w:ascii="Cambria" w:hAnsi="Cambria" w:cs="Arial"/>
          <w:sz w:val="22"/>
          <w:szCs w:val="22"/>
        </w:rPr>
        <w:t xml:space="preserve">However, </w:t>
      </w:r>
      <w:r w:rsidR="00885438" w:rsidRPr="007B4778">
        <w:rPr>
          <w:rFonts w:ascii="Cambria" w:hAnsi="Cambria" w:cs="Arial"/>
          <w:sz w:val="22"/>
          <w:szCs w:val="22"/>
        </w:rPr>
        <w:t xml:space="preserve">the tool </w:t>
      </w:r>
      <w:r w:rsidR="00274CD9">
        <w:rPr>
          <w:rFonts w:ascii="Cambria" w:hAnsi="Cambria" w:cs="Arial"/>
          <w:sz w:val="22"/>
          <w:szCs w:val="22"/>
        </w:rPr>
        <w:t>may</w:t>
      </w:r>
      <w:r w:rsidRPr="007B4778">
        <w:rPr>
          <w:rFonts w:ascii="Cambria" w:hAnsi="Cambria" w:cs="Arial"/>
          <w:sz w:val="22"/>
          <w:szCs w:val="22"/>
        </w:rPr>
        <w:t xml:space="preserve"> </w:t>
      </w:r>
      <w:r w:rsidR="00885438" w:rsidRPr="007B4778">
        <w:rPr>
          <w:rFonts w:ascii="Cambria" w:hAnsi="Cambria" w:cs="Arial"/>
          <w:sz w:val="22"/>
          <w:szCs w:val="22"/>
        </w:rPr>
        <w:t xml:space="preserve">be </w:t>
      </w:r>
      <w:r w:rsidRPr="007B4778">
        <w:rPr>
          <w:rFonts w:ascii="Cambria" w:hAnsi="Cambria" w:cs="Arial"/>
          <w:sz w:val="22"/>
          <w:szCs w:val="22"/>
        </w:rPr>
        <w:t>use</w:t>
      </w:r>
      <w:r w:rsidR="00885438" w:rsidRPr="007B4778">
        <w:rPr>
          <w:rFonts w:ascii="Cambria" w:hAnsi="Cambria" w:cs="Arial"/>
          <w:sz w:val="22"/>
          <w:szCs w:val="22"/>
        </w:rPr>
        <w:t xml:space="preserve">d to verify the amount </w:t>
      </w:r>
      <w:r w:rsidRPr="007B4778">
        <w:rPr>
          <w:rFonts w:ascii="Cambria" w:hAnsi="Cambria" w:cs="Arial"/>
          <w:sz w:val="22"/>
          <w:szCs w:val="22"/>
        </w:rPr>
        <w:t>recorded.</w:t>
      </w:r>
    </w:p>
    <w:p w14:paraId="22B36D0D" w14:textId="77777777" w:rsidR="00145B6E" w:rsidRPr="007B4778" w:rsidRDefault="00145B6E" w:rsidP="007B4778">
      <w:pPr>
        <w:pStyle w:val="Heading2"/>
        <w:spacing w:line="276" w:lineRule="auto"/>
        <w:ind w:left="139"/>
        <w:rPr>
          <w:rFonts w:ascii="Cambria" w:hAnsi="Cambria" w:cs="Arial"/>
          <w:sz w:val="22"/>
          <w:szCs w:val="22"/>
        </w:rPr>
      </w:pPr>
    </w:p>
    <w:p w14:paraId="586B469D" w14:textId="77777777" w:rsidR="00145B6E" w:rsidRPr="007B4778" w:rsidRDefault="00145B6E" w:rsidP="007B4778">
      <w:pPr>
        <w:pStyle w:val="Heading2"/>
        <w:spacing w:line="276" w:lineRule="auto"/>
        <w:ind w:left="139"/>
        <w:rPr>
          <w:rFonts w:ascii="Cambria" w:hAnsi="Cambria" w:cs="Arial"/>
          <w:sz w:val="22"/>
          <w:szCs w:val="22"/>
        </w:rPr>
      </w:pPr>
      <w:r w:rsidRPr="007B4778">
        <w:rPr>
          <w:rFonts w:ascii="Cambria" w:hAnsi="Cambria" w:cs="Arial"/>
          <w:sz w:val="22"/>
          <w:szCs w:val="22"/>
        </w:rPr>
        <w:t xml:space="preserve">Step 6 provides information that might be useful for financial statement footnote disclosure. </w:t>
      </w:r>
      <w:r w:rsidR="00F25ECC" w:rsidRPr="007B4778">
        <w:rPr>
          <w:rFonts w:ascii="Cambria" w:hAnsi="Cambria" w:cs="Arial"/>
          <w:sz w:val="22"/>
          <w:szCs w:val="22"/>
        </w:rPr>
        <w:t>NM</w:t>
      </w:r>
      <w:r w:rsidRPr="007B4778">
        <w:rPr>
          <w:rFonts w:ascii="Cambria" w:hAnsi="Cambria" w:cs="Arial"/>
          <w:sz w:val="22"/>
          <w:szCs w:val="22"/>
        </w:rPr>
        <w:t>RHCA provided an example disclosure in section 3.</w:t>
      </w:r>
    </w:p>
    <w:p w14:paraId="2680EC66" w14:textId="77777777" w:rsidR="00145B6E" w:rsidRDefault="00145B6E">
      <w:pPr>
        <w:spacing w:line="276" w:lineRule="auto"/>
        <w:sectPr w:rsidR="00145B6E" w:rsidSect="00B753A6">
          <w:footerReference w:type="default" r:id="rId20"/>
          <w:pgSz w:w="12240" w:h="15840" w:code="1"/>
          <w:pgMar w:top="634" w:right="1224" w:bottom="1238" w:left="1296" w:header="0" w:footer="720" w:gutter="0"/>
          <w:cols w:space="720"/>
        </w:sectPr>
      </w:pPr>
    </w:p>
    <w:p w14:paraId="3AF9C618" w14:textId="77777777" w:rsidR="00A739ED" w:rsidRPr="007B4778" w:rsidRDefault="00742E33" w:rsidP="00145B6E">
      <w:pPr>
        <w:pStyle w:val="BodyText"/>
        <w:spacing w:before="4"/>
        <w:rPr>
          <w:rFonts w:ascii="Cambria" w:eastAsia="Cambria" w:hAnsi="Cambria"/>
          <w:b/>
          <w:bCs/>
          <w:color w:val="365F91" w:themeColor="accent1" w:themeShade="BF"/>
          <w:sz w:val="28"/>
          <w:szCs w:val="28"/>
        </w:rPr>
      </w:pPr>
      <w:r w:rsidRPr="007B4778">
        <w:rPr>
          <w:rFonts w:ascii="Cambria" w:eastAsia="Cambria" w:hAnsi="Cambria"/>
          <w:b/>
          <w:bCs/>
          <w:color w:val="365F91" w:themeColor="accent1" w:themeShade="BF"/>
          <w:sz w:val="28"/>
          <w:szCs w:val="28"/>
        </w:rPr>
        <w:lastRenderedPageBreak/>
        <w:t xml:space="preserve">Section 3: Financial Statement </w:t>
      </w:r>
      <w:r w:rsidR="005A3BC4">
        <w:rPr>
          <w:rFonts w:ascii="Cambria" w:eastAsia="Cambria" w:hAnsi="Cambria"/>
          <w:b/>
          <w:bCs/>
          <w:color w:val="365F91" w:themeColor="accent1" w:themeShade="BF"/>
          <w:sz w:val="28"/>
          <w:szCs w:val="28"/>
        </w:rPr>
        <w:t>Footnote</w:t>
      </w:r>
      <w:r w:rsidRPr="007B4778">
        <w:rPr>
          <w:rFonts w:ascii="Cambria" w:eastAsia="Cambria" w:hAnsi="Cambria"/>
          <w:b/>
          <w:bCs/>
          <w:color w:val="365F91" w:themeColor="accent1" w:themeShade="BF"/>
          <w:sz w:val="28"/>
          <w:szCs w:val="28"/>
        </w:rPr>
        <w:t xml:space="preserve"> and R</w:t>
      </w:r>
      <w:r w:rsidR="005A3BC4">
        <w:rPr>
          <w:rFonts w:ascii="Cambria" w:eastAsia="Cambria" w:hAnsi="Cambria"/>
          <w:b/>
          <w:bCs/>
          <w:color w:val="365F91" w:themeColor="accent1" w:themeShade="BF"/>
          <w:sz w:val="28"/>
          <w:szCs w:val="28"/>
        </w:rPr>
        <w:t xml:space="preserve">SI </w:t>
      </w:r>
      <w:r w:rsidRPr="007B4778">
        <w:rPr>
          <w:rFonts w:ascii="Cambria" w:eastAsia="Cambria" w:hAnsi="Cambria"/>
          <w:b/>
          <w:bCs/>
          <w:color w:val="365F91" w:themeColor="accent1" w:themeShade="BF"/>
          <w:sz w:val="28"/>
          <w:szCs w:val="28"/>
        </w:rPr>
        <w:t>Template</w:t>
      </w:r>
    </w:p>
    <w:p w14:paraId="1B3153AC" w14:textId="77777777" w:rsidR="00A739ED" w:rsidRDefault="00A739ED">
      <w:pPr>
        <w:pStyle w:val="BodyText"/>
        <w:rPr>
          <w:rFonts w:ascii="Cambria"/>
          <w:b/>
        </w:rPr>
      </w:pPr>
    </w:p>
    <w:p w14:paraId="4E63B5DD" w14:textId="77777777" w:rsidR="00A739ED" w:rsidRDefault="00000000">
      <w:pPr>
        <w:pStyle w:val="BodyText"/>
        <w:spacing w:before="4"/>
        <w:rPr>
          <w:rFonts w:ascii="Cambria"/>
          <w:b/>
          <w:sz w:val="26"/>
        </w:rPr>
      </w:pPr>
      <w:r>
        <w:pict w14:anchorId="7A32AE2E">
          <v:group id="_x0000_s2083" style="position:absolute;margin-left:103.55pt;margin-top:17.4pt;width:392.25pt;height:126.5pt;z-index:1456;mso-wrap-distance-left:0;mso-wrap-distance-right:0;mso-position-horizontal-relative:page" coordorigin="2071,348" coordsize="7845,2530">
            <v:shape id="_x0000_s2085" style="position:absolute;left:2071;top:348;width:7845;height:2530" coordorigin="2071,348" coordsize="7845,2530" o:spt="100" adj="0,,0" path="m9916,348r-7845,l2071,2878r7845,l9916,2871r-7830,l2078,2864r8,l2086,363r-8,l2086,356r7830,l9916,348xm2086,2864r-8,l2086,2871r,-7xm9901,2864r-7815,l2086,2871r7815,l9901,2864xm9901,356r,2515l9908,2864r8,l9916,363r-8,l9901,356xm9916,2864r-8,l9901,2871r15,l9916,2864xm2086,356r-8,7l2086,363r,-7xm9901,356r-7815,l2086,363r7815,l9901,356xm9916,356r-15,l9908,363r8,l9916,356xe" fillcolor="black" stroked="f">
              <v:stroke joinstyle="round"/>
              <v:formulas/>
              <v:path arrowok="t" o:connecttype="segments"/>
            </v:shape>
            <v:shape id="_x0000_s2084" type="#_x0000_t202" style="position:absolute;left:2071;top:348;width:7845;height:2530" filled="f" stroked="f">
              <v:textbox style="mso-next-textbox:#_x0000_s2084" inset="0,0,0,0">
                <w:txbxContent>
                  <w:p w14:paraId="729B46FA" w14:textId="77777777" w:rsidR="00742E33" w:rsidRDefault="00742E33">
                    <w:pPr>
                      <w:rPr>
                        <w:rFonts w:ascii="Cambria"/>
                        <w:b/>
                      </w:rPr>
                    </w:pPr>
                  </w:p>
                  <w:p w14:paraId="49FED3DD" w14:textId="77777777" w:rsidR="00742E33" w:rsidRDefault="00742E33">
                    <w:pPr>
                      <w:spacing w:before="2"/>
                      <w:rPr>
                        <w:rFonts w:ascii="Cambria"/>
                        <w:b/>
                        <w:sz w:val="24"/>
                      </w:rPr>
                    </w:pPr>
                  </w:p>
                  <w:p w14:paraId="5012A69E" w14:textId="77777777" w:rsidR="00742E33" w:rsidRPr="00BD4E34" w:rsidRDefault="00742E33">
                    <w:pPr>
                      <w:ind w:left="157" w:right="380"/>
                      <w:rPr>
                        <w:rFonts w:asciiTheme="majorHAnsi" w:hAnsiTheme="majorHAnsi"/>
                      </w:rPr>
                    </w:pPr>
                    <w:r w:rsidRPr="00BD4E34">
                      <w:rPr>
                        <w:rFonts w:asciiTheme="majorHAnsi" w:hAnsiTheme="majorHAnsi"/>
                        <w:b/>
                      </w:rPr>
                      <w:t xml:space="preserve">Disclaimer: </w:t>
                    </w:r>
                    <w:r w:rsidRPr="00BD4E34">
                      <w:rPr>
                        <w:rFonts w:asciiTheme="majorHAnsi" w:hAnsiTheme="majorHAnsi"/>
                      </w:rPr>
                      <w:t xml:space="preserve">The sample financial statement </w:t>
                    </w:r>
                    <w:r w:rsidR="001310FA">
                      <w:rPr>
                        <w:rFonts w:asciiTheme="majorHAnsi" w:hAnsiTheme="majorHAnsi"/>
                      </w:rPr>
                      <w:t>foot</w:t>
                    </w:r>
                    <w:r w:rsidRPr="00BD4E34">
                      <w:rPr>
                        <w:rFonts w:asciiTheme="majorHAnsi" w:hAnsiTheme="majorHAnsi"/>
                      </w:rPr>
                      <w:t>notes and required supplementary information (RSI) below are based on the illustrations in GASB</w:t>
                    </w:r>
                    <w:r w:rsidR="006E1AD5" w:rsidRPr="00BD4E34">
                      <w:rPr>
                        <w:rFonts w:asciiTheme="majorHAnsi" w:hAnsiTheme="majorHAnsi"/>
                      </w:rPr>
                      <w:t xml:space="preserve"> </w:t>
                    </w:r>
                    <w:r w:rsidR="001310FA">
                      <w:rPr>
                        <w:rFonts w:asciiTheme="majorHAnsi" w:hAnsiTheme="majorHAnsi"/>
                      </w:rPr>
                      <w:t xml:space="preserve">No. </w:t>
                    </w:r>
                    <w:r w:rsidR="006E1AD5" w:rsidRPr="00BD4E34">
                      <w:rPr>
                        <w:rFonts w:asciiTheme="majorHAnsi" w:hAnsiTheme="majorHAnsi"/>
                      </w:rPr>
                      <w:t>75</w:t>
                    </w:r>
                    <w:r w:rsidRPr="00BD4E34">
                      <w:rPr>
                        <w:rFonts w:asciiTheme="majorHAnsi" w:hAnsiTheme="majorHAnsi"/>
                      </w:rPr>
                      <w:t>. The sample is not and should not be treated as professional advice. The sample includes only commonly required employer disclosures; accordingly, employers should consult with their independent public accountants for specific financial statement presentations.</w:t>
                    </w:r>
                  </w:p>
                </w:txbxContent>
              </v:textbox>
            </v:shape>
            <w10:wrap type="topAndBottom" anchorx="page"/>
          </v:group>
        </w:pict>
      </w:r>
    </w:p>
    <w:p w14:paraId="6244CAF5" w14:textId="77777777" w:rsidR="006E1AD5" w:rsidRDefault="006E1AD5" w:rsidP="006E1AD5">
      <w:pPr>
        <w:pStyle w:val="BodyText"/>
        <w:spacing w:before="4"/>
        <w:jc w:val="center"/>
        <w:rPr>
          <w:rFonts w:eastAsia="Cambria"/>
          <w:b/>
          <w:bCs/>
          <w:color w:val="365F91" w:themeColor="accent1" w:themeShade="BF"/>
          <w:sz w:val="28"/>
          <w:szCs w:val="28"/>
        </w:rPr>
      </w:pPr>
    </w:p>
    <w:p w14:paraId="042AF385" w14:textId="77777777" w:rsidR="00A739ED" w:rsidRDefault="00A739ED">
      <w:pPr>
        <w:pStyle w:val="BodyText"/>
        <w:spacing w:before="9"/>
        <w:rPr>
          <w:rFonts w:ascii="Times New Roman"/>
          <w:b/>
          <w:sz w:val="16"/>
        </w:rPr>
      </w:pPr>
    </w:p>
    <w:p w14:paraId="7ECCF8F9" w14:textId="37A78F3C" w:rsidR="00A739ED" w:rsidRPr="007B4778" w:rsidRDefault="00D74C05" w:rsidP="00C66911">
      <w:pPr>
        <w:pStyle w:val="Heading2"/>
        <w:spacing w:before="100" w:line="276" w:lineRule="exact"/>
        <w:ind w:left="0" w:right="40"/>
        <w:rPr>
          <w:rFonts w:ascii="Cambria" w:hAnsi="Cambria" w:cs="Arial"/>
          <w:sz w:val="22"/>
          <w:szCs w:val="22"/>
        </w:rPr>
      </w:pPr>
      <w:r w:rsidRPr="007B4778">
        <w:rPr>
          <w:rFonts w:ascii="Cambria" w:hAnsi="Cambria" w:cs="Arial"/>
          <w:sz w:val="22"/>
          <w:szCs w:val="22"/>
        </w:rPr>
        <w:t xml:space="preserve">The example is based on the disclosure example in Illustration 2 on page 216 of </w:t>
      </w:r>
      <w:r w:rsidR="001310FA">
        <w:rPr>
          <w:rFonts w:ascii="Cambria" w:hAnsi="Cambria" w:cs="Arial"/>
          <w:sz w:val="22"/>
          <w:szCs w:val="22"/>
        </w:rPr>
        <w:t>GASB No. 75</w:t>
      </w:r>
      <w:r w:rsidRPr="007B4778">
        <w:rPr>
          <w:rFonts w:ascii="Cambria" w:hAnsi="Cambria" w:cs="Arial"/>
          <w:sz w:val="22"/>
          <w:szCs w:val="22"/>
        </w:rPr>
        <w:t xml:space="preserve">. </w:t>
      </w:r>
      <w:r w:rsidR="00051670" w:rsidRPr="007B4778">
        <w:rPr>
          <w:rFonts w:ascii="Cambria" w:hAnsi="Cambria" w:cs="Arial"/>
          <w:sz w:val="22"/>
          <w:szCs w:val="22"/>
        </w:rPr>
        <w:t xml:space="preserve">The example uses </w:t>
      </w:r>
      <w:r w:rsidR="00A864EF">
        <w:rPr>
          <w:rFonts w:ascii="Cambria" w:hAnsi="Cambria" w:cs="Arial"/>
          <w:sz w:val="22"/>
          <w:szCs w:val="22"/>
        </w:rPr>
        <w:t xml:space="preserve">the </w:t>
      </w:r>
      <w:r w:rsidR="003A3CB0">
        <w:rPr>
          <w:rFonts w:ascii="Cambria" w:hAnsi="Cambria" w:cs="Arial"/>
          <w:sz w:val="22"/>
          <w:szCs w:val="22"/>
        </w:rPr>
        <w:t xml:space="preserve">City of </w:t>
      </w:r>
      <w:proofErr w:type="gramStart"/>
      <w:r w:rsidR="003A3CB0">
        <w:rPr>
          <w:rFonts w:ascii="Cambria" w:hAnsi="Cambria" w:cs="Arial"/>
          <w:sz w:val="22"/>
          <w:szCs w:val="22"/>
        </w:rPr>
        <w:t>Las</w:t>
      </w:r>
      <w:proofErr w:type="gramEnd"/>
      <w:r w:rsidR="003A3CB0">
        <w:rPr>
          <w:rFonts w:ascii="Cambria" w:hAnsi="Cambria" w:cs="Arial"/>
          <w:sz w:val="22"/>
          <w:szCs w:val="22"/>
        </w:rPr>
        <w:t xml:space="preserve"> Cruces</w:t>
      </w:r>
      <w:r w:rsidR="00051670" w:rsidRPr="007B4778">
        <w:rPr>
          <w:rFonts w:ascii="Cambria" w:hAnsi="Cambria" w:cs="Arial"/>
          <w:sz w:val="22"/>
          <w:szCs w:val="22"/>
        </w:rPr>
        <w:t xml:space="preserve"> and </w:t>
      </w:r>
      <w:r w:rsidR="00BA483F">
        <w:rPr>
          <w:rFonts w:ascii="Cambria" w:hAnsi="Cambria" w:cs="Arial"/>
          <w:sz w:val="22"/>
          <w:szCs w:val="22"/>
        </w:rPr>
        <w:t>uses</w:t>
      </w:r>
      <w:r w:rsidR="00051670" w:rsidRPr="007B4778">
        <w:rPr>
          <w:rFonts w:ascii="Cambria" w:hAnsi="Cambria" w:cs="Arial"/>
          <w:sz w:val="22"/>
          <w:szCs w:val="22"/>
        </w:rPr>
        <w:t xml:space="preserve"> the </w:t>
      </w:r>
      <w:r w:rsidR="001310FA">
        <w:rPr>
          <w:rFonts w:ascii="Cambria" w:hAnsi="Cambria" w:cs="Arial"/>
          <w:sz w:val="22"/>
          <w:szCs w:val="22"/>
        </w:rPr>
        <w:t>j</w:t>
      </w:r>
      <w:r w:rsidR="00051670" w:rsidRPr="007B4778">
        <w:rPr>
          <w:rFonts w:ascii="Cambria" w:hAnsi="Cambria" w:cs="Arial"/>
          <w:sz w:val="22"/>
          <w:szCs w:val="22"/>
        </w:rPr>
        <w:t xml:space="preserve">ournal </w:t>
      </w:r>
      <w:r w:rsidR="001310FA">
        <w:rPr>
          <w:rFonts w:ascii="Cambria" w:hAnsi="Cambria" w:cs="Arial"/>
          <w:sz w:val="22"/>
          <w:szCs w:val="22"/>
        </w:rPr>
        <w:t>e</w:t>
      </w:r>
      <w:r w:rsidR="00051670" w:rsidRPr="007B4778">
        <w:rPr>
          <w:rFonts w:ascii="Cambria" w:hAnsi="Cambria" w:cs="Arial"/>
          <w:sz w:val="22"/>
          <w:szCs w:val="22"/>
        </w:rPr>
        <w:t xml:space="preserve">ntry </w:t>
      </w:r>
      <w:r w:rsidR="001310FA">
        <w:rPr>
          <w:rFonts w:ascii="Cambria" w:hAnsi="Cambria" w:cs="Arial"/>
          <w:sz w:val="22"/>
          <w:szCs w:val="22"/>
        </w:rPr>
        <w:t>t</w:t>
      </w:r>
      <w:r w:rsidR="00051670" w:rsidRPr="007B4778">
        <w:rPr>
          <w:rFonts w:ascii="Cambria" w:hAnsi="Cambria" w:cs="Arial"/>
          <w:sz w:val="22"/>
          <w:szCs w:val="22"/>
        </w:rPr>
        <w:t>ool example above. Dark blue text in brackets are directions or calling out information</w:t>
      </w:r>
      <w:r w:rsidRPr="007B4778">
        <w:rPr>
          <w:rFonts w:ascii="Cambria" w:hAnsi="Cambria" w:cs="Arial"/>
          <w:sz w:val="22"/>
          <w:szCs w:val="22"/>
        </w:rPr>
        <w:t xml:space="preserve"> </w:t>
      </w:r>
      <w:r w:rsidR="00051670" w:rsidRPr="007B4778">
        <w:rPr>
          <w:rFonts w:ascii="Cambria" w:hAnsi="Cambria" w:cs="Arial"/>
          <w:sz w:val="22"/>
          <w:szCs w:val="22"/>
        </w:rPr>
        <w:t>that needs to be considered. Any amounts highlighted in gray are specific to this example and will need to be updated.</w:t>
      </w:r>
    </w:p>
    <w:p w14:paraId="1878697C" w14:textId="77777777" w:rsidR="00D74C05" w:rsidRDefault="00D74C05">
      <w:pPr>
        <w:pStyle w:val="Heading2"/>
        <w:spacing w:before="100" w:line="276" w:lineRule="exact"/>
        <w:ind w:right="436"/>
        <w:jc w:val="both"/>
      </w:pPr>
    </w:p>
    <w:p w14:paraId="5E738BCB" w14:textId="77777777" w:rsidR="00A739ED" w:rsidRDefault="00A739ED">
      <w:pPr>
        <w:spacing w:line="276" w:lineRule="exact"/>
        <w:jc w:val="both"/>
        <w:sectPr w:rsidR="00A739ED" w:rsidSect="00B753A6">
          <w:pgSz w:w="12240" w:h="15840" w:code="1"/>
          <w:pgMar w:top="720" w:right="1440" w:bottom="720" w:left="1440" w:header="0" w:footer="720" w:gutter="0"/>
          <w:cols w:space="720"/>
        </w:sectPr>
      </w:pPr>
    </w:p>
    <w:p w14:paraId="11C6CB1B" w14:textId="77777777" w:rsidR="00A739ED" w:rsidRDefault="00742E33">
      <w:pPr>
        <w:pStyle w:val="Heading2"/>
        <w:tabs>
          <w:tab w:val="left" w:pos="7959"/>
        </w:tabs>
        <w:spacing w:before="75"/>
        <w:ind w:left="140"/>
      </w:pPr>
      <w:r>
        <w:rPr>
          <w:color w:val="8EB3E2"/>
        </w:rPr>
        <w:lastRenderedPageBreak/>
        <w:tab/>
      </w:r>
    </w:p>
    <w:p w14:paraId="126A94EA" w14:textId="77777777" w:rsidR="00A739ED" w:rsidRDefault="00A739ED">
      <w:pPr>
        <w:pStyle w:val="BodyText"/>
        <w:rPr>
          <w:rFonts w:ascii="Times New Roman"/>
          <w:sz w:val="44"/>
        </w:rPr>
      </w:pPr>
    </w:p>
    <w:p w14:paraId="1DDFA123" w14:textId="77777777" w:rsidR="00A739ED" w:rsidRDefault="00A739ED">
      <w:pPr>
        <w:pStyle w:val="BodyText"/>
        <w:rPr>
          <w:rFonts w:ascii="Times New Roman"/>
          <w:sz w:val="44"/>
        </w:rPr>
      </w:pPr>
    </w:p>
    <w:p w14:paraId="2735842C" w14:textId="77777777" w:rsidR="00A739ED" w:rsidRDefault="00A739ED">
      <w:pPr>
        <w:pStyle w:val="BodyText"/>
        <w:spacing w:before="1"/>
        <w:rPr>
          <w:rFonts w:ascii="Times New Roman"/>
          <w:sz w:val="65"/>
        </w:rPr>
      </w:pPr>
    </w:p>
    <w:p w14:paraId="4B1C5843" w14:textId="77777777" w:rsidR="00A739ED" w:rsidRPr="007B4778" w:rsidRDefault="001310FA" w:rsidP="007B4778">
      <w:pPr>
        <w:spacing w:before="1"/>
        <w:jc w:val="center"/>
        <w:rPr>
          <w:rFonts w:ascii="Cambria" w:eastAsia="Cambria" w:hAnsi="Cambria"/>
          <w:b/>
          <w:bCs/>
          <w:color w:val="365F91" w:themeColor="accent1" w:themeShade="BF"/>
          <w:sz w:val="28"/>
          <w:szCs w:val="28"/>
        </w:rPr>
      </w:pPr>
      <w:r>
        <w:rPr>
          <w:rFonts w:ascii="Cambria" w:eastAsia="Cambria" w:hAnsi="Cambria"/>
          <w:b/>
          <w:bCs/>
          <w:color w:val="365F91" w:themeColor="accent1" w:themeShade="BF"/>
          <w:sz w:val="28"/>
          <w:szCs w:val="28"/>
        </w:rPr>
        <w:t>Footn</w:t>
      </w:r>
      <w:r w:rsidR="00742E33" w:rsidRPr="007B4778">
        <w:rPr>
          <w:rFonts w:ascii="Cambria" w:eastAsia="Cambria" w:hAnsi="Cambria"/>
          <w:b/>
          <w:bCs/>
          <w:color w:val="365F91" w:themeColor="accent1" w:themeShade="BF"/>
          <w:sz w:val="28"/>
          <w:szCs w:val="28"/>
        </w:rPr>
        <w:t>ote and RSI Template</w:t>
      </w:r>
    </w:p>
    <w:p w14:paraId="1972D8BC" w14:textId="77777777" w:rsidR="00A739ED" w:rsidRDefault="00A739ED">
      <w:pPr>
        <w:rPr>
          <w:rFonts w:ascii="Times New Roman"/>
          <w:sz w:val="40"/>
        </w:rPr>
      </w:pPr>
    </w:p>
    <w:p w14:paraId="65F16854" w14:textId="77777777" w:rsidR="00CB11A2" w:rsidRDefault="00CB11A2">
      <w:pPr>
        <w:rPr>
          <w:rFonts w:ascii="Times New Roman"/>
          <w:sz w:val="40"/>
        </w:rPr>
        <w:sectPr w:rsidR="00CB11A2" w:rsidSect="00731561">
          <w:pgSz w:w="12240" w:h="15840" w:code="1"/>
          <w:pgMar w:top="720" w:right="1440" w:bottom="720" w:left="1440" w:header="0" w:footer="720" w:gutter="0"/>
          <w:cols w:space="720"/>
        </w:sectPr>
      </w:pPr>
    </w:p>
    <w:p w14:paraId="793C5C04" w14:textId="77777777" w:rsidR="00A739ED" w:rsidRDefault="00A739ED">
      <w:pPr>
        <w:pStyle w:val="BodyText"/>
        <w:spacing w:before="2"/>
        <w:rPr>
          <w:rFonts w:ascii="Times New Roman"/>
          <w:b/>
          <w:sz w:val="27"/>
        </w:rPr>
      </w:pPr>
    </w:p>
    <w:p w14:paraId="5129C73F" w14:textId="77777777" w:rsidR="003A3CB0" w:rsidRPr="0017736A" w:rsidRDefault="003A3CB0" w:rsidP="003A3CB0">
      <w:pPr>
        <w:pStyle w:val="Heading4"/>
        <w:spacing w:before="94"/>
        <w:ind w:left="0" w:right="-90"/>
        <w:jc w:val="center"/>
        <w:rPr>
          <w:rFonts w:ascii="Cambria" w:hAnsi="Cambria"/>
          <w:sz w:val="22"/>
          <w:szCs w:val="22"/>
        </w:rPr>
      </w:pPr>
      <w:r>
        <w:rPr>
          <w:rFonts w:ascii="Cambria" w:hAnsi="Cambria"/>
          <w:sz w:val="22"/>
          <w:szCs w:val="22"/>
        </w:rPr>
        <w:t>City of Las Cruces</w:t>
      </w:r>
    </w:p>
    <w:p w14:paraId="5989DF6D" w14:textId="77777777" w:rsidR="007B4778" w:rsidRPr="007B4778" w:rsidRDefault="00742E33" w:rsidP="007B4778">
      <w:pPr>
        <w:jc w:val="center"/>
        <w:rPr>
          <w:rFonts w:ascii="Cambria" w:hAnsi="Cambria"/>
          <w:b/>
        </w:rPr>
      </w:pPr>
      <w:r w:rsidRPr="007B4778">
        <w:rPr>
          <w:rFonts w:ascii="Cambria" w:hAnsi="Cambria"/>
          <w:b/>
        </w:rPr>
        <w:t>Notes to the Financial Statements</w:t>
      </w:r>
    </w:p>
    <w:p w14:paraId="194D4DA3" w14:textId="5F67EE56" w:rsidR="00A739ED" w:rsidRPr="007B4778" w:rsidRDefault="00742E33" w:rsidP="007B4778">
      <w:pPr>
        <w:jc w:val="center"/>
        <w:rPr>
          <w:rFonts w:ascii="Cambria" w:hAnsi="Cambria"/>
        </w:rPr>
      </w:pPr>
      <w:r w:rsidRPr="007B4778">
        <w:rPr>
          <w:rFonts w:ascii="Cambria" w:hAnsi="Cambria"/>
          <w:b/>
        </w:rPr>
        <w:t>for the Year Ended Ju</w:t>
      </w:r>
      <w:r w:rsidR="002127BF">
        <w:rPr>
          <w:rFonts w:ascii="Cambria" w:hAnsi="Cambria"/>
          <w:b/>
        </w:rPr>
        <w:t>ne 30, 20</w:t>
      </w:r>
      <w:r w:rsidR="00511028">
        <w:rPr>
          <w:rFonts w:ascii="Cambria" w:hAnsi="Cambria"/>
          <w:b/>
        </w:rPr>
        <w:t>2</w:t>
      </w:r>
      <w:r w:rsidR="004B2D6E">
        <w:rPr>
          <w:rFonts w:ascii="Cambria" w:hAnsi="Cambria"/>
          <w:b/>
        </w:rPr>
        <w:t>3</w:t>
      </w:r>
    </w:p>
    <w:p w14:paraId="45A8356A" w14:textId="77777777" w:rsidR="00A739ED" w:rsidRPr="007B4778" w:rsidRDefault="00A739ED" w:rsidP="007B4778">
      <w:pPr>
        <w:pStyle w:val="BodyText"/>
        <w:jc w:val="center"/>
        <w:rPr>
          <w:rFonts w:ascii="Cambria" w:hAnsi="Cambria"/>
          <w:sz w:val="22"/>
          <w:szCs w:val="22"/>
        </w:rPr>
      </w:pPr>
    </w:p>
    <w:p w14:paraId="6115FD1F" w14:textId="77777777" w:rsidR="00A739ED" w:rsidRPr="007B4778" w:rsidRDefault="00A739ED" w:rsidP="007B4778">
      <w:pPr>
        <w:pStyle w:val="BodyText"/>
        <w:jc w:val="center"/>
        <w:rPr>
          <w:rFonts w:ascii="Cambria" w:hAnsi="Cambria"/>
          <w:sz w:val="22"/>
          <w:szCs w:val="22"/>
        </w:rPr>
      </w:pPr>
    </w:p>
    <w:p w14:paraId="239C7165" w14:textId="77777777" w:rsidR="00A739ED" w:rsidRPr="007B4778" w:rsidRDefault="00742E33" w:rsidP="007B4778">
      <w:pPr>
        <w:pStyle w:val="Heading4"/>
        <w:ind w:left="0"/>
        <w:rPr>
          <w:rFonts w:ascii="Cambria" w:hAnsi="Cambria"/>
          <w:sz w:val="22"/>
          <w:szCs w:val="22"/>
        </w:rPr>
      </w:pPr>
      <w:r w:rsidRPr="007B4778">
        <w:rPr>
          <w:rFonts w:ascii="Cambria" w:hAnsi="Cambria"/>
          <w:sz w:val="22"/>
          <w:szCs w:val="22"/>
        </w:rPr>
        <w:t>Note 1. Summary of Significant Accounting Policies</w:t>
      </w:r>
    </w:p>
    <w:p w14:paraId="43B6EF15" w14:textId="77777777" w:rsidR="00A739ED" w:rsidRPr="007B4778" w:rsidRDefault="00A739ED">
      <w:pPr>
        <w:pStyle w:val="BodyText"/>
        <w:spacing w:before="9"/>
        <w:rPr>
          <w:sz w:val="19"/>
        </w:rPr>
      </w:pPr>
    </w:p>
    <w:p w14:paraId="5BFEC5BB" w14:textId="77777777" w:rsidR="00A739ED" w:rsidRPr="00BD4E34" w:rsidRDefault="00742E33" w:rsidP="007B4778">
      <w:pPr>
        <w:ind w:right="795"/>
        <w:rPr>
          <w:rFonts w:asciiTheme="majorHAnsi" w:hAnsiTheme="majorHAnsi"/>
        </w:rPr>
      </w:pPr>
      <w:r w:rsidRPr="00BD4E34">
        <w:rPr>
          <w:rFonts w:asciiTheme="majorHAnsi" w:hAnsiTheme="majorHAnsi"/>
          <w:color w:val="17365D"/>
        </w:rPr>
        <w:t xml:space="preserve">[The following should be included in the </w:t>
      </w:r>
      <w:r w:rsidRPr="00BD4E34">
        <w:rPr>
          <w:rFonts w:asciiTheme="majorHAnsi" w:hAnsiTheme="majorHAnsi"/>
          <w:i/>
          <w:color w:val="17365D"/>
        </w:rPr>
        <w:t>Summary of Significant Accounting Policies</w:t>
      </w:r>
      <w:r w:rsidRPr="00BD4E34">
        <w:rPr>
          <w:rFonts w:asciiTheme="majorHAnsi" w:hAnsiTheme="majorHAnsi"/>
          <w:color w:val="17365D"/>
        </w:rPr>
        <w:t>.]</w:t>
      </w:r>
    </w:p>
    <w:p w14:paraId="57F46D40" w14:textId="77777777" w:rsidR="00A739ED" w:rsidRPr="007B4778" w:rsidRDefault="00A739ED">
      <w:pPr>
        <w:pStyle w:val="BodyText"/>
        <w:spacing w:before="10"/>
        <w:rPr>
          <w:rFonts w:ascii="Cambria" w:hAnsi="Cambria"/>
          <w:sz w:val="22"/>
          <w:szCs w:val="22"/>
        </w:rPr>
      </w:pPr>
    </w:p>
    <w:p w14:paraId="571013AE" w14:textId="77777777" w:rsidR="00A739ED" w:rsidRPr="007B4778" w:rsidRDefault="00E628DE" w:rsidP="00D31C5F">
      <w:pPr>
        <w:pStyle w:val="BodyText"/>
        <w:spacing w:line="276" w:lineRule="auto"/>
        <w:rPr>
          <w:rFonts w:ascii="Cambria" w:hAnsi="Cambria"/>
          <w:i/>
          <w:sz w:val="22"/>
          <w:szCs w:val="22"/>
        </w:rPr>
      </w:pPr>
      <w:r w:rsidRPr="007B4778">
        <w:rPr>
          <w:rFonts w:ascii="Cambria" w:hAnsi="Cambria"/>
          <w:i/>
          <w:sz w:val="22"/>
          <w:szCs w:val="22"/>
        </w:rPr>
        <w:t xml:space="preserve">Postemployment Benefits Other Than Pensions (OPEB). </w:t>
      </w:r>
      <w:r w:rsidRPr="007B4778">
        <w:rPr>
          <w:rFonts w:ascii="Cambria" w:hAnsi="Cambria"/>
          <w:sz w:val="22"/>
          <w:szCs w:val="22"/>
        </w:rPr>
        <w:t>For purposes of measuring the net OPEB liability, deferred outflows of resources and deferred inflows of resources related to OPEB, and OPEB expense, information about the fiduciary net position of the New Mexico Retiree Health Care Authority</w:t>
      </w:r>
      <w:r w:rsidR="00830F40" w:rsidRPr="007B4778">
        <w:rPr>
          <w:rFonts w:ascii="Cambria" w:hAnsi="Cambria"/>
          <w:sz w:val="22"/>
          <w:szCs w:val="22"/>
        </w:rPr>
        <w:t xml:space="preserve"> </w:t>
      </w:r>
      <w:r w:rsidRPr="007B4778">
        <w:rPr>
          <w:rFonts w:ascii="Cambria" w:hAnsi="Cambria"/>
          <w:sz w:val="22"/>
          <w:szCs w:val="22"/>
        </w:rPr>
        <w:t>(NMRHCA) and additions to</w:t>
      </w:r>
      <w:r w:rsidR="002A6D26">
        <w:rPr>
          <w:rFonts w:ascii="Cambria" w:hAnsi="Cambria"/>
          <w:sz w:val="22"/>
          <w:szCs w:val="22"/>
        </w:rPr>
        <w:t xml:space="preserve"> and </w:t>
      </w:r>
      <w:r w:rsidRPr="007B4778">
        <w:rPr>
          <w:rFonts w:ascii="Cambria" w:hAnsi="Cambria"/>
          <w:sz w:val="22"/>
          <w:szCs w:val="22"/>
        </w:rPr>
        <w:t>deductions from NMRHCA’s fiduciary net position have been determined on the same basis as they are reported by NMRHCA. For this purpose, NMRHCA recognizes benefit payments when due and payable in accordance with the benefit terms. Investments are reported at fair value</w:t>
      </w:r>
      <w:r w:rsidRPr="007B4778">
        <w:rPr>
          <w:rFonts w:ascii="Cambria" w:hAnsi="Cambria"/>
          <w:i/>
          <w:sz w:val="22"/>
          <w:szCs w:val="22"/>
        </w:rPr>
        <w:t>.</w:t>
      </w:r>
    </w:p>
    <w:p w14:paraId="1ECFD57A" w14:textId="77777777" w:rsidR="00A739ED" w:rsidRPr="007B4778" w:rsidRDefault="00A739ED">
      <w:pPr>
        <w:pStyle w:val="BodyText"/>
        <w:rPr>
          <w:rFonts w:ascii="Cambria" w:hAnsi="Cambria"/>
          <w:sz w:val="22"/>
          <w:szCs w:val="22"/>
        </w:rPr>
      </w:pPr>
    </w:p>
    <w:p w14:paraId="263D65F0" w14:textId="77777777" w:rsidR="00A739ED" w:rsidRPr="007B4778" w:rsidRDefault="00A739ED">
      <w:pPr>
        <w:pStyle w:val="BodyText"/>
        <w:rPr>
          <w:rFonts w:ascii="Cambria" w:hAnsi="Cambria"/>
          <w:sz w:val="22"/>
          <w:szCs w:val="22"/>
        </w:rPr>
      </w:pPr>
    </w:p>
    <w:p w14:paraId="1C7C8002" w14:textId="77777777" w:rsidR="00A739ED" w:rsidRPr="001B5157" w:rsidRDefault="006E1AD5" w:rsidP="001B5157">
      <w:pPr>
        <w:pStyle w:val="Heading4"/>
        <w:ind w:left="0"/>
        <w:rPr>
          <w:rFonts w:ascii="Cambria" w:hAnsi="Cambria"/>
          <w:sz w:val="22"/>
          <w:szCs w:val="22"/>
        </w:rPr>
      </w:pPr>
      <w:r w:rsidRPr="001B5157">
        <w:rPr>
          <w:rFonts w:ascii="Cambria" w:hAnsi="Cambria"/>
          <w:sz w:val="22"/>
          <w:szCs w:val="22"/>
        </w:rPr>
        <w:t xml:space="preserve">Note </w:t>
      </w:r>
      <w:r w:rsidR="002A6D26" w:rsidRPr="002A6D26">
        <w:rPr>
          <w:rFonts w:ascii="Cambria" w:hAnsi="Cambria"/>
          <w:sz w:val="22"/>
          <w:szCs w:val="22"/>
          <w:u w:val="single"/>
        </w:rPr>
        <w:t>X</w:t>
      </w:r>
      <w:r w:rsidRPr="001B5157">
        <w:rPr>
          <w:rFonts w:ascii="Cambria" w:hAnsi="Cambria"/>
          <w:sz w:val="22"/>
          <w:szCs w:val="22"/>
        </w:rPr>
        <w:t xml:space="preserve"> - </w:t>
      </w:r>
      <w:r w:rsidR="00E628DE" w:rsidRPr="001B5157">
        <w:rPr>
          <w:rFonts w:ascii="Cambria" w:hAnsi="Cambria"/>
          <w:sz w:val="22"/>
          <w:szCs w:val="22"/>
        </w:rPr>
        <w:t>OPEB</w:t>
      </w:r>
    </w:p>
    <w:p w14:paraId="6F477BB4" w14:textId="77777777" w:rsidR="00E628DE" w:rsidRDefault="00E628DE" w:rsidP="007B4778">
      <w:pPr>
        <w:pStyle w:val="Heading4"/>
        <w:spacing w:before="1"/>
        <w:ind w:left="0"/>
        <w:rPr>
          <w:b w:val="0"/>
          <w:sz w:val="19"/>
        </w:rPr>
      </w:pPr>
    </w:p>
    <w:p w14:paraId="2461A453" w14:textId="77777777" w:rsidR="00A739ED" w:rsidRPr="00BD4E34" w:rsidRDefault="00E628DE" w:rsidP="007B4778">
      <w:pPr>
        <w:pStyle w:val="BodyText"/>
        <w:ind w:right="648"/>
        <w:rPr>
          <w:rFonts w:asciiTheme="majorHAnsi" w:hAnsiTheme="majorHAnsi"/>
          <w:color w:val="17365D"/>
          <w:sz w:val="22"/>
          <w:szCs w:val="22"/>
        </w:rPr>
      </w:pPr>
      <w:r w:rsidRPr="00BD4E34">
        <w:rPr>
          <w:rFonts w:asciiTheme="majorHAnsi" w:hAnsiTheme="majorHAnsi"/>
          <w:color w:val="17365D"/>
          <w:sz w:val="22"/>
          <w:szCs w:val="22"/>
        </w:rPr>
        <w:t xml:space="preserve">[If the Employer’s employees were provided with benefits through more than one defined benefit OPEB plan, the Employer should disclose information required by </w:t>
      </w:r>
      <w:r w:rsidR="00830F40" w:rsidRPr="00BD4E34">
        <w:rPr>
          <w:rFonts w:asciiTheme="majorHAnsi" w:hAnsiTheme="majorHAnsi"/>
          <w:color w:val="17365D"/>
          <w:sz w:val="22"/>
          <w:szCs w:val="22"/>
        </w:rPr>
        <w:t xml:space="preserve">paragraph 89 of GASB </w:t>
      </w:r>
      <w:r w:rsidR="00174CCD">
        <w:rPr>
          <w:rFonts w:asciiTheme="majorHAnsi" w:hAnsiTheme="majorHAnsi"/>
          <w:color w:val="17365D"/>
          <w:sz w:val="22"/>
          <w:szCs w:val="22"/>
        </w:rPr>
        <w:t xml:space="preserve">No. </w:t>
      </w:r>
      <w:r w:rsidR="00830F40" w:rsidRPr="00BD4E34">
        <w:rPr>
          <w:rFonts w:asciiTheme="majorHAnsi" w:hAnsiTheme="majorHAnsi"/>
          <w:color w:val="17365D"/>
          <w:sz w:val="22"/>
          <w:szCs w:val="22"/>
        </w:rPr>
        <w:t xml:space="preserve">75 </w:t>
      </w:r>
      <w:r w:rsidRPr="00BD4E34">
        <w:rPr>
          <w:rFonts w:asciiTheme="majorHAnsi" w:hAnsiTheme="majorHAnsi"/>
          <w:color w:val="17365D"/>
          <w:sz w:val="22"/>
          <w:szCs w:val="22"/>
        </w:rPr>
        <w:t>and should apply the requirements of par</w:t>
      </w:r>
      <w:r w:rsidR="00830F40" w:rsidRPr="00BD4E34">
        <w:rPr>
          <w:rFonts w:asciiTheme="majorHAnsi" w:hAnsiTheme="majorHAnsi"/>
          <w:color w:val="17365D"/>
          <w:sz w:val="22"/>
          <w:szCs w:val="22"/>
        </w:rPr>
        <w:t>agraph 90</w:t>
      </w:r>
      <w:r w:rsidRPr="00BD4E34">
        <w:rPr>
          <w:rFonts w:asciiTheme="majorHAnsi" w:hAnsiTheme="majorHAnsi"/>
          <w:color w:val="17365D"/>
          <w:sz w:val="22"/>
          <w:szCs w:val="22"/>
        </w:rPr>
        <w:t xml:space="preserve">.] </w:t>
      </w:r>
    </w:p>
    <w:p w14:paraId="50E9C869" w14:textId="77777777" w:rsidR="00A739ED" w:rsidRDefault="00A739ED">
      <w:pPr>
        <w:pStyle w:val="BodyText"/>
        <w:spacing w:before="2"/>
      </w:pPr>
    </w:p>
    <w:p w14:paraId="33BA5031" w14:textId="77777777" w:rsidR="00A739ED" w:rsidRPr="001B5157" w:rsidRDefault="00742E33" w:rsidP="001B5157">
      <w:pPr>
        <w:rPr>
          <w:rFonts w:ascii="Cambria" w:hAnsi="Cambria"/>
          <w:b/>
          <w:i/>
        </w:rPr>
      </w:pPr>
      <w:r w:rsidRPr="001B5157">
        <w:rPr>
          <w:rFonts w:ascii="Cambria" w:hAnsi="Cambria"/>
          <w:b/>
          <w:i/>
        </w:rPr>
        <w:t>General In</w:t>
      </w:r>
      <w:r w:rsidR="00E628DE" w:rsidRPr="001B5157">
        <w:rPr>
          <w:rFonts w:ascii="Cambria" w:hAnsi="Cambria"/>
          <w:b/>
          <w:i/>
        </w:rPr>
        <w:t>formation about the OPEB</w:t>
      </w:r>
    </w:p>
    <w:p w14:paraId="0DA33ECC" w14:textId="77777777" w:rsidR="00A739ED" w:rsidRPr="001B5157" w:rsidRDefault="00A739ED" w:rsidP="001B5157">
      <w:pPr>
        <w:pStyle w:val="BodyText"/>
        <w:spacing w:line="276" w:lineRule="auto"/>
        <w:ind w:right="726"/>
        <w:rPr>
          <w:rFonts w:ascii="Cambria" w:hAnsi="Cambria"/>
          <w:sz w:val="22"/>
          <w:szCs w:val="22"/>
        </w:rPr>
      </w:pPr>
    </w:p>
    <w:p w14:paraId="4AACC72A" w14:textId="10189A57" w:rsidR="00CE5BCE" w:rsidRPr="001B5157" w:rsidRDefault="00742E33" w:rsidP="001B5157">
      <w:pPr>
        <w:pStyle w:val="BodyText"/>
        <w:spacing w:line="276" w:lineRule="auto"/>
        <w:rPr>
          <w:rFonts w:ascii="Cambria" w:hAnsi="Cambria"/>
          <w:sz w:val="22"/>
          <w:szCs w:val="22"/>
        </w:rPr>
      </w:pPr>
      <w:r w:rsidRPr="007E523A">
        <w:rPr>
          <w:rFonts w:ascii="Cambria" w:hAnsi="Cambria"/>
          <w:bCs/>
          <w:i/>
          <w:sz w:val="22"/>
          <w:szCs w:val="22"/>
        </w:rPr>
        <w:t>Plan description.</w:t>
      </w:r>
      <w:r w:rsidRPr="001B5157">
        <w:rPr>
          <w:rFonts w:ascii="Cambria" w:hAnsi="Cambria"/>
          <w:b/>
          <w:i/>
          <w:sz w:val="22"/>
          <w:szCs w:val="22"/>
        </w:rPr>
        <w:t xml:space="preserve"> </w:t>
      </w:r>
      <w:r w:rsidR="00830F40" w:rsidRPr="001B5157">
        <w:rPr>
          <w:rFonts w:ascii="Cambria" w:hAnsi="Cambria"/>
          <w:sz w:val="22"/>
          <w:szCs w:val="22"/>
        </w:rPr>
        <w:t xml:space="preserve">Employees of the </w:t>
      </w:r>
      <w:r w:rsidR="003A3CB0">
        <w:rPr>
          <w:rFonts w:ascii="Cambria" w:hAnsi="Cambria"/>
          <w:sz w:val="22"/>
          <w:szCs w:val="22"/>
        </w:rPr>
        <w:t>City</w:t>
      </w:r>
      <w:r w:rsidR="00830F40" w:rsidRPr="001B5157">
        <w:rPr>
          <w:rFonts w:ascii="Cambria" w:hAnsi="Cambria"/>
          <w:sz w:val="22"/>
          <w:szCs w:val="22"/>
        </w:rPr>
        <w:t xml:space="preserve"> </w:t>
      </w:r>
      <w:r w:rsidR="00E70DA4">
        <w:rPr>
          <w:rFonts w:ascii="Cambria" w:hAnsi="Cambria"/>
          <w:sz w:val="22"/>
          <w:szCs w:val="22"/>
        </w:rPr>
        <w:t xml:space="preserve">of </w:t>
      </w:r>
      <w:proofErr w:type="gramStart"/>
      <w:r w:rsidR="00E70DA4">
        <w:rPr>
          <w:rFonts w:ascii="Cambria" w:hAnsi="Cambria"/>
          <w:sz w:val="22"/>
          <w:szCs w:val="22"/>
        </w:rPr>
        <w:t>Las</w:t>
      </w:r>
      <w:proofErr w:type="gramEnd"/>
      <w:r w:rsidR="00E70DA4">
        <w:rPr>
          <w:rFonts w:ascii="Cambria" w:hAnsi="Cambria"/>
          <w:sz w:val="22"/>
          <w:szCs w:val="22"/>
        </w:rPr>
        <w:t xml:space="preserve"> Cruces (the City) </w:t>
      </w:r>
      <w:r w:rsidR="00830F40" w:rsidRPr="001B5157">
        <w:rPr>
          <w:rFonts w:ascii="Cambria" w:hAnsi="Cambria"/>
          <w:sz w:val="22"/>
          <w:szCs w:val="22"/>
        </w:rPr>
        <w:t>are provided with OPEB through the Retiree Health Care Fund</w:t>
      </w:r>
      <w:r w:rsidR="0041680B" w:rsidRPr="001B5157">
        <w:rPr>
          <w:rFonts w:ascii="Cambria" w:hAnsi="Cambria"/>
          <w:sz w:val="22"/>
          <w:szCs w:val="22"/>
        </w:rPr>
        <w:t xml:space="preserve"> (the Fund)</w:t>
      </w:r>
      <w:r w:rsidR="00830F40" w:rsidRPr="001B5157">
        <w:rPr>
          <w:rFonts w:ascii="Cambria" w:hAnsi="Cambria"/>
          <w:sz w:val="22"/>
          <w:szCs w:val="22"/>
        </w:rPr>
        <w:t>—a cost-sharing multiple-employer defined benefit OPEB plan administered</w:t>
      </w:r>
      <w:r w:rsidR="0041680B" w:rsidRPr="001B5157">
        <w:rPr>
          <w:rFonts w:ascii="Cambria" w:hAnsi="Cambria"/>
          <w:sz w:val="22"/>
          <w:szCs w:val="22"/>
        </w:rPr>
        <w:t xml:space="preserve"> by t</w:t>
      </w:r>
      <w:r w:rsidR="00CE5BCE" w:rsidRPr="001B5157">
        <w:rPr>
          <w:rFonts w:ascii="Cambria" w:hAnsi="Cambria"/>
          <w:sz w:val="22"/>
          <w:szCs w:val="22"/>
        </w:rPr>
        <w:t>he New Mexico Ret</w:t>
      </w:r>
      <w:r w:rsidR="0041680B" w:rsidRPr="001B5157">
        <w:rPr>
          <w:rFonts w:ascii="Cambria" w:hAnsi="Cambria"/>
          <w:sz w:val="22"/>
          <w:szCs w:val="22"/>
        </w:rPr>
        <w:t xml:space="preserve">iree Health Care Authority (NMRHCA). NMRHCA </w:t>
      </w:r>
      <w:r w:rsidR="00CE5BCE" w:rsidRPr="001B5157">
        <w:rPr>
          <w:rFonts w:ascii="Cambria" w:hAnsi="Cambria"/>
          <w:sz w:val="22"/>
          <w:szCs w:val="22"/>
        </w:rPr>
        <w:t xml:space="preserve">was formed February 13, 1990, under the New Mexico Retiree Health Care Act (the Act) of New Mexico Statutes Annotated, as amended (NMSA 1978), to administer the Fund under Section 10-7C-1-19 NMSA 1978. The Fund was created to provide comprehensive group health insurance coverage for individuals (and their spouses, </w:t>
      </w:r>
      <w:proofErr w:type="gramStart"/>
      <w:r w:rsidR="00CE5BCE" w:rsidRPr="001B5157">
        <w:rPr>
          <w:rFonts w:ascii="Cambria" w:hAnsi="Cambria"/>
          <w:sz w:val="22"/>
          <w:szCs w:val="22"/>
        </w:rPr>
        <w:t>dependents</w:t>
      </w:r>
      <w:proofErr w:type="gramEnd"/>
      <w:r w:rsidR="00CE5BCE" w:rsidRPr="001B5157">
        <w:rPr>
          <w:rFonts w:ascii="Cambria" w:hAnsi="Cambria"/>
          <w:sz w:val="22"/>
          <w:szCs w:val="22"/>
        </w:rPr>
        <w:t xml:space="preserve"> and surviving spouses) who have retired or will retire from public service in New Mexico.  </w:t>
      </w:r>
    </w:p>
    <w:p w14:paraId="616172CB" w14:textId="77777777" w:rsidR="00CE5BCE" w:rsidRPr="001B5157" w:rsidRDefault="0041680B" w:rsidP="001B5157">
      <w:pPr>
        <w:pStyle w:val="BodyText"/>
        <w:spacing w:before="121" w:line="276" w:lineRule="auto"/>
        <w:rPr>
          <w:rFonts w:ascii="Cambria" w:hAnsi="Cambria"/>
          <w:sz w:val="22"/>
          <w:szCs w:val="22"/>
        </w:rPr>
      </w:pPr>
      <w:r w:rsidRPr="001B5157">
        <w:rPr>
          <w:rFonts w:ascii="Cambria" w:hAnsi="Cambria"/>
          <w:sz w:val="22"/>
          <w:szCs w:val="22"/>
        </w:rPr>
        <w:t>NMRHCA</w:t>
      </w:r>
      <w:r w:rsidR="00CE5BCE" w:rsidRPr="001B5157">
        <w:rPr>
          <w:rFonts w:ascii="Cambria" w:hAnsi="Cambria"/>
          <w:sz w:val="22"/>
          <w:szCs w:val="22"/>
        </w:rPr>
        <w:t xml:space="preserve"> is an independent agency of the State of New Mexico. The funds administered by </w:t>
      </w:r>
      <w:r w:rsidRPr="001B5157">
        <w:rPr>
          <w:rFonts w:ascii="Cambria" w:hAnsi="Cambria"/>
          <w:sz w:val="22"/>
          <w:szCs w:val="22"/>
        </w:rPr>
        <w:t>NMRHCA</w:t>
      </w:r>
      <w:r w:rsidR="00CE5BCE" w:rsidRPr="001B5157">
        <w:rPr>
          <w:rFonts w:ascii="Cambria" w:hAnsi="Cambria"/>
          <w:sz w:val="22"/>
          <w:szCs w:val="22"/>
        </w:rPr>
        <w:t xml:space="preserve"> are considered part of the State of New Mexico financial reporting entity and are OPEB trust funds of the State o</w:t>
      </w:r>
      <w:r w:rsidRPr="001B5157">
        <w:rPr>
          <w:rFonts w:ascii="Cambria" w:hAnsi="Cambria"/>
          <w:sz w:val="22"/>
          <w:szCs w:val="22"/>
        </w:rPr>
        <w:t>f New Mexico. NMRHCA</w:t>
      </w:r>
      <w:r w:rsidR="00CE5BCE" w:rsidRPr="001B5157">
        <w:rPr>
          <w:rFonts w:ascii="Cambria" w:hAnsi="Cambria"/>
          <w:sz w:val="22"/>
          <w:szCs w:val="22"/>
        </w:rPr>
        <w:t xml:space="preserve">’s financial information is included with the financial presentation of the State of New Mexico. </w:t>
      </w:r>
    </w:p>
    <w:p w14:paraId="727DBC18" w14:textId="77777777" w:rsidR="00A739ED" w:rsidRPr="001B5157" w:rsidRDefault="00A739ED">
      <w:pPr>
        <w:pStyle w:val="BodyText"/>
        <w:rPr>
          <w:rFonts w:ascii="Cambria" w:hAnsi="Cambria"/>
          <w:sz w:val="22"/>
          <w:szCs w:val="22"/>
        </w:rPr>
      </w:pPr>
    </w:p>
    <w:p w14:paraId="5CA5E991" w14:textId="77777777" w:rsidR="00974DB2" w:rsidRPr="001B5157" w:rsidRDefault="00742E33" w:rsidP="001B5157">
      <w:pPr>
        <w:pStyle w:val="BodyText"/>
        <w:spacing w:line="276" w:lineRule="auto"/>
        <w:rPr>
          <w:rFonts w:ascii="Cambria" w:hAnsi="Cambria"/>
          <w:sz w:val="22"/>
          <w:szCs w:val="22"/>
        </w:rPr>
      </w:pPr>
      <w:r w:rsidRPr="007E523A">
        <w:rPr>
          <w:rFonts w:ascii="Cambria" w:hAnsi="Cambria"/>
          <w:bCs/>
          <w:i/>
          <w:sz w:val="22"/>
          <w:szCs w:val="22"/>
        </w:rPr>
        <w:t>Benefits</w:t>
      </w:r>
      <w:r w:rsidR="00974DB2" w:rsidRPr="007E523A">
        <w:rPr>
          <w:rFonts w:ascii="Cambria" w:hAnsi="Cambria"/>
          <w:bCs/>
          <w:i/>
          <w:sz w:val="22"/>
          <w:szCs w:val="22"/>
        </w:rPr>
        <w:t xml:space="preserve"> provided</w:t>
      </w:r>
      <w:r w:rsidR="00830F40" w:rsidRPr="007E523A">
        <w:rPr>
          <w:rFonts w:ascii="Cambria" w:hAnsi="Cambria"/>
          <w:bCs/>
          <w:i/>
          <w:sz w:val="22"/>
          <w:szCs w:val="22"/>
        </w:rPr>
        <w:t>.</w:t>
      </w:r>
      <w:r w:rsidRPr="001B5157">
        <w:rPr>
          <w:rFonts w:ascii="Cambria" w:hAnsi="Cambria"/>
          <w:sz w:val="22"/>
          <w:szCs w:val="22"/>
        </w:rPr>
        <w:t xml:space="preserve"> </w:t>
      </w:r>
      <w:r w:rsidR="00974DB2" w:rsidRPr="001B5157">
        <w:rPr>
          <w:rFonts w:ascii="Cambria" w:hAnsi="Cambria"/>
          <w:sz w:val="22"/>
          <w:szCs w:val="22"/>
        </w:rPr>
        <w:t xml:space="preserve">The Fund is a multiple employer cost sharing defined benefit healthcare plan that provides eligible retirees (including terminated employees who have accumulated benefits but are not yet receiving them), their spouses, dependents and surviving spouses and dependents with health insurance and prescription drug benefits consisting of a plan, or optional plans of benefits, that can be contributions to the Fund and by co-payments or out-of-pocket payments of eligible retirees.  </w:t>
      </w:r>
    </w:p>
    <w:p w14:paraId="63FE3B76" w14:textId="77777777" w:rsidR="00974DB2" w:rsidRPr="001B5157" w:rsidRDefault="00974DB2" w:rsidP="001B5157">
      <w:pPr>
        <w:pStyle w:val="BodyText"/>
        <w:spacing w:line="276" w:lineRule="auto"/>
        <w:rPr>
          <w:rFonts w:ascii="Cambria" w:hAnsi="Cambria"/>
          <w:b/>
          <w:i/>
          <w:sz w:val="22"/>
          <w:szCs w:val="22"/>
        </w:rPr>
      </w:pPr>
    </w:p>
    <w:p w14:paraId="2B3C0B44" w14:textId="77777777" w:rsidR="000B7EDC" w:rsidRDefault="000B7EDC">
      <w:pPr>
        <w:rPr>
          <w:rFonts w:ascii="Cambria" w:hAnsi="Cambria"/>
          <w:b/>
          <w:i/>
        </w:rPr>
      </w:pPr>
      <w:r>
        <w:rPr>
          <w:rFonts w:ascii="Cambria" w:hAnsi="Cambria"/>
          <w:b/>
          <w:i/>
        </w:rPr>
        <w:br w:type="page"/>
      </w:r>
    </w:p>
    <w:p w14:paraId="3988EAAC" w14:textId="1D7E2715" w:rsidR="00974DB2" w:rsidRPr="001B5157" w:rsidRDefault="00974DB2" w:rsidP="001B5157">
      <w:pPr>
        <w:pStyle w:val="BodyText"/>
        <w:spacing w:line="276" w:lineRule="auto"/>
        <w:rPr>
          <w:rFonts w:ascii="Cambria" w:hAnsi="Cambria"/>
          <w:sz w:val="22"/>
          <w:szCs w:val="22"/>
        </w:rPr>
      </w:pPr>
      <w:r w:rsidRPr="007E523A">
        <w:rPr>
          <w:rFonts w:ascii="Cambria" w:hAnsi="Cambria"/>
          <w:bCs/>
          <w:i/>
          <w:sz w:val="22"/>
          <w:szCs w:val="22"/>
        </w:rPr>
        <w:lastRenderedPageBreak/>
        <w:t>Employees covered by benefit terms</w:t>
      </w:r>
      <w:r w:rsidR="00A6751C">
        <w:rPr>
          <w:rFonts w:ascii="Cambria" w:hAnsi="Cambria"/>
          <w:sz w:val="22"/>
          <w:szCs w:val="22"/>
        </w:rPr>
        <w:t>.</w:t>
      </w:r>
      <w:r w:rsidR="00A864EF">
        <w:rPr>
          <w:rFonts w:ascii="Cambria" w:hAnsi="Cambria"/>
          <w:sz w:val="22"/>
          <w:szCs w:val="22"/>
        </w:rPr>
        <w:t xml:space="preserve"> </w:t>
      </w:r>
      <w:proofErr w:type="gramStart"/>
      <w:r w:rsidR="00A864EF">
        <w:rPr>
          <w:rFonts w:ascii="Cambria" w:hAnsi="Cambria"/>
          <w:sz w:val="22"/>
          <w:szCs w:val="22"/>
        </w:rPr>
        <w:t>At</w:t>
      </w:r>
      <w:proofErr w:type="gramEnd"/>
      <w:r w:rsidR="00A864EF">
        <w:rPr>
          <w:rFonts w:ascii="Cambria" w:hAnsi="Cambria"/>
          <w:sz w:val="22"/>
          <w:szCs w:val="22"/>
        </w:rPr>
        <w:t xml:space="preserve"> June 30, 20</w:t>
      </w:r>
      <w:r w:rsidR="00B43588">
        <w:rPr>
          <w:rFonts w:ascii="Cambria" w:hAnsi="Cambria"/>
          <w:sz w:val="22"/>
          <w:szCs w:val="22"/>
        </w:rPr>
        <w:t>2</w:t>
      </w:r>
      <w:r w:rsidR="00727E50">
        <w:rPr>
          <w:rFonts w:ascii="Cambria" w:hAnsi="Cambria"/>
          <w:sz w:val="22"/>
          <w:szCs w:val="22"/>
        </w:rPr>
        <w:t>3</w:t>
      </w:r>
      <w:r w:rsidRPr="001B5157">
        <w:rPr>
          <w:rFonts w:ascii="Cambria" w:hAnsi="Cambria"/>
          <w:sz w:val="22"/>
          <w:szCs w:val="22"/>
        </w:rPr>
        <w:t xml:space="preserve">, the </w:t>
      </w:r>
      <w:r w:rsidR="002A6D26">
        <w:rPr>
          <w:rFonts w:ascii="Cambria" w:hAnsi="Cambria"/>
          <w:sz w:val="22"/>
          <w:szCs w:val="22"/>
        </w:rPr>
        <w:t xml:space="preserve">Fund’s </w:t>
      </w:r>
      <w:r w:rsidRPr="001B5157">
        <w:rPr>
          <w:rFonts w:ascii="Cambria" w:hAnsi="Cambria"/>
          <w:sz w:val="22"/>
          <w:szCs w:val="22"/>
        </w:rPr>
        <w:t xml:space="preserve">measurement date, the following employees were covered by the benefit terms: </w:t>
      </w:r>
    </w:p>
    <w:p w14:paraId="549FA073" w14:textId="6878F232" w:rsidR="00974DB2" w:rsidRDefault="00974DB2" w:rsidP="001B5157">
      <w:pPr>
        <w:pStyle w:val="BodyText"/>
        <w:spacing w:line="276" w:lineRule="auto"/>
        <w:ind w:right="639"/>
      </w:pPr>
    </w:p>
    <w:p w14:paraId="02F04468" w14:textId="6D986BAF" w:rsidR="00D11CAA" w:rsidRDefault="00E70DA4" w:rsidP="001B5157">
      <w:pPr>
        <w:pStyle w:val="BodyText"/>
        <w:spacing w:line="276" w:lineRule="auto"/>
        <w:ind w:right="639"/>
      </w:pPr>
      <w:r w:rsidRPr="00E70DA4">
        <w:drawing>
          <wp:inline distT="0" distB="0" distL="0" distR="0" wp14:anchorId="7D6E23C5" wp14:editId="1A23E1C1">
            <wp:extent cx="4929505" cy="2395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29505" cy="2395855"/>
                    </a:xfrm>
                    <a:prstGeom prst="rect">
                      <a:avLst/>
                    </a:prstGeom>
                    <a:noFill/>
                    <a:ln>
                      <a:noFill/>
                    </a:ln>
                  </pic:spPr>
                </pic:pic>
              </a:graphicData>
            </a:graphic>
          </wp:inline>
        </w:drawing>
      </w:r>
    </w:p>
    <w:p w14:paraId="0ADB3F10" w14:textId="33E760A2" w:rsidR="003B2FB1" w:rsidRDefault="003B2FB1" w:rsidP="001B5157">
      <w:pPr>
        <w:pStyle w:val="BodyText"/>
        <w:spacing w:line="276" w:lineRule="auto"/>
        <w:ind w:right="639"/>
      </w:pPr>
    </w:p>
    <w:p w14:paraId="180EEFC7" w14:textId="0D13F35F" w:rsidR="00974DB2" w:rsidRPr="001B5157" w:rsidRDefault="00974DB2" w:rsidP="00C66911">
      <w:pPr>
        <w:pStyle w:val="BodyText"/>
        <w:spacing w:before="120" w:line="276" w:lineRule="auto"/>
        <w:rPr>
          <w:rFonts w:ascii="Cambria" w:hAnsi="Cambria"/>
          <w:sz w:val="22"/>
          <w:szCs w:val="22"/>
        </w:rPr>
      </w:pPr>
      <w:r w:rsidRPr="007E523A">
        <w:rPr>
          <w:rFonts w:ascii="Cambria" w:hAnsi="Cambria"/>
          <w:bCs/>
          <w:i/>
          <w:sz w:val="22"/>
          <w:szCs w:val="22"/>
        </w:rPr>
        <w:t>Contributions</w:t>
      </w:r>
      <w:r w:rsidR="00A6751C" w:rsidRPr="007E523A">
        <w:rPr>
          <w:rFonts w:ascii="Cambria" w:hAnsi="Cambria"/>
          <w:bCs/>
          <w:i/>
          <w:sz w:val="22"/>
          <w:szCs w:val="22"/>
        </w:rPr>
        <w:t>.</w:t>
      </w:r>
      <w:r w:rsidRPr="001B5157">
        <w:rPr>
          <w:rFonts w:ascii="Cambria" w:hAnsi="Cambria"/>
          <w:sz w:val="22"/>
          <w:szCs w:val="22"/>
        </w:rPr>
        <w:t xml:space="preserve"> Employer and employee contributions to the </w:t>
      </w:r>
      <w:r w:rsidR="003D6C99">
        <w:rPr>
          <w:rFonts w:ascii="Cambria" w:hAnsi="Cambria"/>
          <w:sz w:val="22"/>
          <w:szCs w:val="22"/>
        </w:rPr>
        <w:t>Fund</w:t>
      </w:r>
      <w:r w:rsidRPr="001B5157">
        <w:rPr>
          <w:rFonts w:ascii="Cambria" w:hAnsi="Cambria"/>
          <w:sz w:val="22"/>
          <w:szCs w:val="22"/>
        </w:rPr>
        <w:t xml:space="preserve"> total 3% for non-enhanced retirement plans and 3.75% of enhanced retirement plans of each participating employee’s salary as required by Section 10-7C-15 NMSA 1978.  The contributions are established by statute and are not based on an actuarial calculation.  All employer and employee contributions are non-refundable under any circumstance, including termination of the employer’s participation in the </w:t>
      </w:r>
      <w:r w:rsidR="0041680B" w:rsidRPr="001B5157">
        <w:rPr>
          <w:rFonts w:ascii="Cambria" w:hAnsi="Cambria"/>
          <w:sz w:val="22"/>
          <w:szCs w:val="22"/>
        </w:rPr>
        <w:t>Fund</w:t>
      </w:r>
      <w:r w:rsidRPr="001B5157">
        <w:rPr>
          <w:rFonts w:ascii="Cambria" w:hAnsi="Cambria"/>
          <w:sz w:val="22"/>
          <w:szCs w:val="22"/>
        </w:rPr>
        <w:t xml:space="preserve">. </w:t>
      </w:r>
      <w:r w:rsidR="0041680B" w:rsidRPr="001B5157">
        <w:rPr>
          <w:rFonts w:ascii="Cambria" w:hAnsi="Cambria"/>
          <w:sz w:val="22"/>
          <w:szCs w:val="22"/>
        </w:rPr>
        <w:t xml:space="preserve">Contributions to the Fund from the </w:t>
      </w:r>
      <w:r w:rsidR="00A60778">
        <w:rPr>
          <w:rFonts w:ascii="Cambria" w:hAnsi="Cambria"/>
          <w:sz w:val="22"/>
          <w:szCs w:val="22"/>
        </w:rPr>
        <w:t xml:space="preserve">City </w:t>
      </w:r>
      <w:r w:rsidR="0041680B" w:rsidRPr="001B5157">
        <w:rPr>
          <w:rFonts w:ascii="Cambria" w:hAnsi="Cambria"/>
          <w:sz w:val="22"/>
          <w:szCs w:val="22"/>
        </w:rPr>
        <w:t xml:space="preserve">were </w:t>
      </w:r>
      <w:r w:rsidR="0041680B" w:rsidRPr="001B5157">
        <w:rPr>
          <w:rFonts w:ascii="Cambria" w:hAnsi="Cambria"/>
          <w:sz w:val="22"/>
          <w:szCs w:val="22"/>
          <w:highlight w:val="lightGray"/>
        </w:rPr>
        <w:t>$</w:t>
      </w:r>
      <w:r w:rsidR="007230E1">
        <w:rPr>
          <w:rFonts w:ascii="Cambria" w:hAnsi="Cambria"/>
          <w:sz w:val="22"/>
          <w:szCs w:val="22"/>
          <w:highlight w:val="lightGray"/>
        </w:rPr>
        <w:t>1,731,988</w:t>
      </w:r>
      <w:r w:rsidR="0041680B" w:rsidRPr="001B5157">
        <w:rPr>
          <w:rFonts w:ascii="Cambria" w:hAnsi="Cambria"/>
          <w:sz w:val="22"/>
          <w:szCs w:val="22"/>
        </w:rPr>
        <w:t xml:space="preserve"> </w:t>
      </w:r>
      <w:r w:rsidR="005D037A">
        <w:rPr>
          <w:rFonts w:ascii="Cambria" w:hAnsi="Cambria"/>
          <w:sz w:val="22"/>
          <w:szCs w:val="22"/>
        </w:rPr>
        <w:t>for the year ended June 30, 202</w:t>
      </w:r>
      <w:r w:rsidR="00A60778">
        <w:rPr>
          <w:rFonts w:ascii="Cambria" w:hAnsi="Cambria"/>
          <w:sz w:val="22"/>
          <w:szCs w:val="22"/>
        </w:rPr>
        <w:t>3</w:t>
      </w:r>
      <w:r w:rsidR="0041680B" w:rsidRPr="001B5157">
        <w:rPr>
          <w:rFonts w:ascii="Cambria" w:hAnsi="Cambria"/>
          <w:sz w:val="22"/>
          <w:szCs w:val="22"/>
        </w:rPr>
        <w:t>.</w:t>
      </w:r>
      <w:r w:rsidRPr="001B5157">
        <w:rPr>
          <w:rFonts w:ascii="Cambria" w:hAnsi="Cambria"/>
          <w:sz w:val="22"/>
          <w:szCs w:val="22"/>
        </w:rPr>
        <w:t xml:space="preserve"> </w:t>
      </w:r>
    </w:p>
    <w:p w14:paraId="10116A28" w14:textId="77777777" w:rsidR="00974DB2" w:rsidRPr="001B5157" w:rsidRDefault="00974DB2" w:rsidP="00755308">
      <w:pPr>
        <w:pStyle w:val="BodyText"/>
        <w:spacing w:line="276" w:lineRule="auto"/>
        <w:ind w:right="639"/>
        <w:rPr>
          <w:rFonts w:ascii="Cambria" w:hAnsi="Cambria"/>
          <w:sz w:val="22"/>
          <w:szCs w:val="22"/>
        </w:rPr>
      </w:pPr>
    </w:p>
    <w:p w14:paraId="0722313D" w14:textId="77777777" w:rsidR="00FB5DB8" w:rsidRPr="001B5157" w:rsidRDefault="0041680B" w:rsidP="001B5157">
      <w:pPr>
        <w:pStyle w:val="Heading3"/>
        <w:ind w:left="0"/>
        <w:rPr>
          <w:rFonts w:ascii="Cambria" w:hAnsi="Cambria"/>
          <w:b/>
          <w:i/>
        </w:rPr>
      </w:pPr>
      <w:r w:rsidRPr="001B5157">
        <w:rPr>
          <w:rFonts w:ascii="Cambria" w:hAnsi="Cambria"/>
          <w:b/>
          <w:i/>
        </w:rPr>
        <w:t xml:space="preserve">OPEB Liabilities, </w:t>
      </w:r>
      <w:r w:rsidR="00166BCD" w:rsidRPr="001B5157">
        <w:rPr>
          <w:rFonts w:ascii="Cambria" w:hAnsi="Cambria"/>
          <w:b/>
          <w:i/>
        </w:rPr>
        <w:t xml:space="preserve">OPEB </w:t>
      </w:r>
      <w:r w:rsidR="00742E33" w:rsidRPr="001B5157">
        <w:rPr>
          <w:rFonts w:ascii="Cambria" w:hAnsi="Cambria"/>
          <w:b/>
          <w:i/>
        </w:rPr>
        <w:t xml:space="preserve">Expense, and Deferred Outflows of Resources and Deferred Inflows of Resources Related to </w:t>
      </w:r>
      <w:r w:rsidR="00166BCD" w:rsidRPr="001B5157">
        <w:rPr>
          <w:rFonts w:ascii="Cambria" w:hAnsi="Cambria"/>
          <w:b/>
          <w:i/>
        </w:rPr>
        <w:t>OPEB</w:t>
      </w:r>
    </w:p>
    <w:p w14:paraId="45C7A72F" w14:textId="77777777" w:rsidR="00FB5DB8" w:rsidRPr="001B5157" w:rsidRDefault="00FB5DB8" w:rsidP="001B5157">
      <w:pPr>
        <w:pStyle w:val="Heading3"/>
        <w:ind w:left="0" w:right="448"/>
        <w:rPr>
          <w:rFonts w:ascii="Cambria" w:hAnsi="Cambria"/>
          <w:b/>
          <w:i/>
        </w:rPr>
      </w:pPr>
    </w:p>
    <w:p w14:paraId="17658E7E" w14:textId="32E61371" w:rsidR="0041680B" w:rsidRPr="001B5157" w:rsidRDefault="00947E46" w:rsidP="001B5157">
      <w:pPr>
        <w:pStyle w:val="BodyText"/>
        <w:spacing w:line="276" w:lineRule="auto"/>
        <w:rPr>
          <w:rFonts w:ascii="Cambria" w:hAnsi="Cambria"/>
          <w:sz w:val="22"/>
          <w:szCs w:val="22"/>
        </w:rPr>
      </w:pPr>
      <w:proofErr w:type="gramStart"/>
      <w:r>
        <w:rPr>
          <w:rFonts w:ascii="Cambria" w:hAnsi="Cambria"/>
          <w:sz w:val="22"/>
          <w:szCs w:val="22"/>
        </w:rPr>
        <w:t>At</w:t>
      </w:r>
      <w:proofErr w:type="gramEnd"/>
      <w:r>
        <w:rPr>
          <w:rFonts w:ascii="Cambria" w:hAnsi="Cambria"/>
          <w:sz w:val="22"/>
          <w:szCs w:val="22"/>
        </w:rPr>
        <w:t xml:space="preserve"> June 30, 20</w:t>
      </w:r>
      <w:r w:rsidR="005D037A">
        <w:rPr>
          <w:rFonts w:ascii="Cambria" w:hAnsi="Cambria"/>
          <w:sz w:val="22"/>
          <w:szCs w:val="22"/>
        </w:rPr>
        <w:t>2</w:t>
      </w:r>
      <w:r w:rsidR="00A60778">
        <w:rPr>
          <w:rFonts w:ascii="Cambria" w:hAnsi="Cambria"/>
          <w:sz w:val="22"/>
          <w:szCs w:val="22"/>
        </w:rPr>
        <w:t>4</w:t>
      </w:r>
      <w:r w:rsidR="0041680B" w:rsidRPr="001B5157">
        <w:rPr>
          <w:rFonts w:ascii="Cambria" w:hAnsi="Cambria"/>
          <w:sz w:val="22"/>
          <w:szCs w:val="22"/>
        </w:rPr>
        <w:t xml:space="preserve">, the </w:t>
      </w:r>
      <w:r w:rsidR="00A60778">
        <w:rPr>
          <w:rFonts w:ascii="Cambria" w:hAnsi="Cambria"/>
          <w:sz w:val="22"/>
          <w:szCs w:val="22"/>
        </w:rPr>
        <w:t xml:space="preserve">City </w:t>
      </w:r>
      <w:r w:rsidR="0041680B" w:rsidRPr="001B5157">
        <w:rPr>
          <w:rFonts w:ascii="Cambria" w:hAnsi="Cambria"/>
          <w:sz w:val="22"/>
          <w:szCs w:val="22"/>
        </w:rPr>
        <w:t xml:space="preserve">reported a liability of </w:t>
      </w:r>
      <w:r w:rsidR="0041680B" w:rsidRPr="001B5157">
        <w:rPr>
          <w:rFonts w:ascii="Cambria" w:hAnsi="Cambria"/>
          <w:sz w:val="22"/>
          <w:szCs w:val="22"/>
          <w:highlight w:val="lightGray"/>
        </w:rPr>
        <w:t>$</w:t>
      </w:r>
      <w:r w:rsidR="007230E1">
        <w:rPr>
          <w:rFonts w:ascii="Cambria" w:hAnsi="Cambria"/>
          <w:sz w:val="22"/>
          <w:szCs w:val="22"/>
          <w:highlight w:val="lightGray"/>
        </w:rPr>
        <w:t>25</w:t>
      </w:r>
      <w:r w:rsidR="00A51718">
        <w:rPr>
          <w:rFonts w:ascii="Cambria" w:hAnsi="Cambria"/>
          <w:sz w:val="22"/>
          <w:szCs w:val="22"/>
          <w:highlight w:val="lightGray"/>
        </w:rPr>
        <w:t>,</w:t>
      </w:r>
      <w:r w:rsidR="007230E1">
        <w:rPr>
          <w:rFonts w:ascii="Cambria" w:hAnsi="Cambria"/>
          <w:sz w:val="22"/>
          <w:szCs w:val="22"/>
          <w:highlight w:val="lightGray"/>
        </w:rPr>
        <w:t>749</w:t>
      </w:r>
      <w:r w:rsidR="00A51718">
        <w:rPr>
          <w:rFonts w:ascii="Cambria" w:hAnsi="Cambria"/>
          <w:sz w:val="22"/>
          <w:szCs w:val="22"/>
          <w:highlight w:val="lightGray"/>
        </w:rPr>
        <w:t>,</w:t>
      </w:r>
      <w:r w:rsidR="007230E1">
        <w:rPr>
          <w:rFonts w:ascii="Cambria" w:hAnsi="Cambria"/>
          <w:sz w:val="22"/>
          <w:szCs w:val="22"/>
          <w:highlight w:val="lightGray"/>
        </w:rPr>
        <w:t>965</w:t>
      </w:r>
      <w:r w:rsidR="0041680B" w:rsidRPr="001B5157">
        <w:rPr>
          <w:rFonts w:ascii="Cambria" w:hAnsi="Cambria"/>
          <w:sz w:val="22"/>
          <w:szCs w:val="22"/>
        </w:rPr>
        <w:t xml:space="preserve"> for its proportionate share of the net OPEB liability. The net OPEB liability </w:t>
      </w:r>
      <w:r>
        <w:rPr>
          <w:rFonts w:ascii="Cambria" w:hAnsi="Cambria"/>
          <w:sz w:val="22"/>
          <w:szCs w:val="22"/>
        </w:rPr>
        <w:t>was m</w:t>
      </w:r>
      <w:r w:rsidR="005D037A">
        <w:rPr>
          <w:rFonts w:ascii="Cambria" w:hAnsi="Cambria"/>
          <w:sz w:val="22"/>
          <w:szCs w:val="22"/>
        </w:rPr>
        <w:t>easured as of June 30, 20</w:t>
      </w:r>
      <w:r w:rsidR="0093061C">
        <w:rPr>
          <w:rFonts w:ascii="Cambria" w:hAnsi="Cambria"/>
          <w:sz w:val="22"/>
          <w:szCs w:val="22"/>
        </w:rPr>
        <w:t>2</w:t>
      </w:r>
      <w:r w:rsidR="00A60778">
        <w:rPr>
          <w:rFonts w:ascii="Cambria" w:hAnsi="Cambria"/>
          <w:sz w:val="22"/>
          <w:szCs w:val="22"/>
        </w:rPr>
        <w:t>3</w:t>
      </w:r>
      <w:r w:rsidR="0041680B" w:rsidRPr="001B5157">
        <w:rPr>
          <w:rFonts w:ascii="Cambria" w:hAnsi="Cambria"/>
          <w:sz w:val="22"/>
          <w:szCs w:val="22"/>
        </w:rPr>
        <w:t xml:space="preserve">, and the total OPEB liability used to calculate the net OPEB liability was determined by an actuarial valuation as of </w:t>
      </w:r>
      <w:r w:rsidR="005D037A">
        <w:rPr>
          <w:rFonts w:ascii="Cambria" w:hAnsi="Cambria"/>
          <w:sz w:val="22"/>
          <w:szCs w:val="22"/>
        </w:rPr>
        <w:t>June 30, 20</w:t>
      </w:r>
      <w:r w:rsidR="006E0A6E">
        <w:rPr>
          <w:rFonts w:ascii="Cambria" w:hAnsi="Cambria"/>
          <w:sz w:val="22"/>
          <w:szCs w:val="22"/>
        </w:rPr>
        <w:t>2</w:t>
      </w:r>
      <w:r w:rsidR="00E70DA4">
        <w:rPr>
          <w:rFonts w:ascii="Cambria" w:hAnsi="Cambria"/>
          <w:sz w:val="22"/>
          <w:szCs w:val="22"/>
        </w:rPr>
        <w:t>3</w:t>
      </w:r>
      <w:r>
        <w:rPr>
          <w:rFonts w:ascii="Cambria" w:hAnsi="Cambria"/>
          <w:sz w:val="22"/>
          <w:szCs w:val="22"/>
        </w:rPr>
        <w:t xml:space="preserve">. </w:t>
      </w:r>
      <w:r w:rsidR="0041680B" w:rsidRPr="001B5157">
        <w:rPr>
          <w:rFonts w:ascii="Cambria" w:hAnsi="Cambria"/>
          <w:sz w:val="22"/>
          <w:szCs w:val="22"/>
        </w:rPr>
        <w:t xml:space="preserve">The </w:t>
      </w:r>
      <w:r w:rsidR="00D91186">
        <w:rPr>
          <w:rFonts w:ascii="Cambria" w:hAnsi="Cambria"/>
          <w:sz w:val="22"/>
          <w:szCs w:val="22"/>
        </w:rPr>
        <w:t>City</w:t>
      </w:r>
      <w:r w:rsidR="003A3CB0">
        <w:rPr>
          <w:rFonts w:ascii="Cambria" w:hAnsi="Cambria"/>
          <w:sz w:val="22"/>
          <w:szCs w:val="22"/>
        </w:rPr>
        <w:t xml:space="preserve">’s </w:t>
      </w:r>
      <w:r w:rsidR="0041680B" w:rsidRPr="001B5157">
        <w:rPr>
          <w:rFonts w:ascii="Cambria" w:hAnsi="Cambria"/>
          <w:sz w:val="22"/>
          <w:szCs w:val="22"/>
        </w:rPr>
        <w:t xml:space="preserve">proportion of the net OPEB liability was based on actual contributions </w:t>
      </w:r>
      <w:r w:rsidR="005F0CFC" w:rsidRPr="001B5157">
        <w:rPr>
          <w:rFonts w:ascii="Cambria" w:hAnsi="Cambria"/>
          <w:sz w:val="22"/>
          <w:szCs w:val="22"/>
        </w:rPr>
        <w:t>provided to the Fund f</w:t>
      </w:r>
      <w:r w:rsidR="005D037A">
        <w:rPr>
          <w:rFonts w:ascii="Cambria" w:hAnsi="Cambria"/>
          <w:sz w:val="22"/>
          <w:szCs w:val="22"/>
        </w:rPr>
        <w:t>or the year ending June 30, 20</w:t>
      </w:r>
      <w:r w:rsidR="0093061C">
        <w:rPr>
          <w:rFonts w:ascii="Cambria" w:hAnsi="Cambria"/>
          <w:sz w:val="22"/>
          <w:szCs w:val="22"/>
        </w:rPr>
        <w:t>2</w:t>
      </w:r>
      <w:r w:rsidR="00A60778">
        <w:rPr>
          <w:rFonts w:ascii="Cambria" w:hAnsi="Cambria"/>
          <w:sz w:val="22"/>
          <w:szCs w:val="22"/>
        </w:rPr>
        <w:t>3</w:t>
      </w:r>
      <w:r w:rsidR="005F0CFC" w:rsidRPr="001B5157">
        <w:rPr>
          <w:rFonts w:ascii="Cambria" w:hAnsi="Cambria"/>
          <w:sz w:val="22"/>
          <w:szCs w:val="22"/>
        </w:rPr>
        <w:t xml:space="preserve">. </w:t>
      </w:r>
      <w:proofErr w:type="gramStart"/>
      <w:r w:rsidR="0041680B" w:rsidRPr="001B5157">
        <w:rPr>
          <w:rFonts w:ascii="Cambria" w:hAnsi="Cambria"/>
          <w:sz w:val="22"/>
          <w:szCs w:val="22"/>
        </w:rPr>
        <w:t>At</w:t>
      </w:r>
      <w:proofErr w:type="gramEnd"/>
      <w:r w:rsidR="0041680B" w:rsidRPr="001B5157">
        <w:rPr>
          <w:rFonts w:ascii="Cambria" w:hAnsi="Cambria"/>
          <w:sz w:val="22"/>
          <w:szCs w:val="22"/>
        </w:rPr>
        <w:t xml:space="preserve"> </w:t>
      </w:r>
      <w:r w:rsidR="005D037A">
        <w:rPr>
          <w:rFonts w:ascii="Cambria" w:hAnsi="Cambria"/>
          <w:sz w:val="22"/>
          <w:szCs w:val="22"/>
        </w:rPr>
        <w:t>June 30, 20</w:t>
      </w:r>
      <w:r w:rsidR="0093061C">
        <w:rPr>
          <w:rFonts w:ascii="Cambria" w:hAnsi="Cambria"/>
          <w:sz w:val="22"/>
          <w:szCs w:val="22"/>
        </w:rPr>
        <w:t>2</w:t>
      </w:r>
      <w:r w:rsidR="00A60778">
        <w:rPr>
          <w:rFonts w:ascii="Cambria" w:hAnsi="Cambria"/>
          <w:sz w:val="22"/>
          <w:szCs w:val="22"/>
        </w:rPr>
        <w:t>3</w:t>
      </w:r>
      <w:r w:rsidR="0041680B" w:rsidRPr="001B5157">
        <w:rPr>
          <w:rFonts w:ascii="Cambria" w:hAnsi="Cambria"/>
          <w:sz w:val="22"/>
          <w:szCs w:val="22"/>
        </w:rPr>
        <w:t xml:space="preserve">, the </w:t>
      </w:r>
      <w:r w:rsidR="003A3CB0">
        <w:rPr>
          <w:rFonts w:ascii="Cambria" w:hAnsi="Cambria"/>
          <w:sz w:val="22"/>
          <w:szCs w:val="22"/>
        </w:rPr>
        <w:t>City’s</w:t>
      </w:r>
      <w:r w:rsidR="0041680B" w:rsidRPr="001B5157">
        <w:rPr>
          <w:rFonts w:ascii="Cambria" w:hAnsi="Cambria"/>
          <w:sz w:val="22"/>
          <w:szCs w:val="22"/>
        </w:rPr>
        <w:t xml:space="preserve"> proportion was </w:t>
      </w:r>
      <w:r w:rsidR="007230E1">
        <w:rPr>
          <w:rFonts w:ascii="Cambria" w:hAnsi="Cambria"/>
          <w:sz w:val="22"/>
          <w:szCs w:val="22"/>
          <w:highlight w:val="lightGray"/>
        </w:rPr>
        <w:t>1</w:t>
      </w:r>
      <w:r w:rsidR="00755308" w:rsidRPr="001B5157">
        <w:rPr>
          <w:rFonts w:ascii="Cambria" w:hAnsi="Cambria"/>
          <w:sz w:val="22"/>
          <w:szCs w:val="22"/>
          <w:highlight w:val="lightGray"/>
        </w:rPr>
        <w:t>.</w:t>
      </w:r>
      <w:r w:rsidR="007230E1">
        <w:rPr>
          <w:rFonts w:ascii="Cambria" w:hAnsi="Cambria"/>
          <w:sz w:val="22"/>
          <w:szCs w:val="22"/>
          <w:highlight w:val="lightGray"/>
        </w:rPr>
        <w:t>51209</w:t>
      </w:r>
      <w:r w:rsidR="00051670" w:rsidRPr="001B5157">
        <w:rPr>
          <w:rFonts w:ascii="Cambria" w:hAnsi="Cambria"/>
          <w:sz w:val="22"/>
          <w:szCs w:val="22"/>
        </w:rPr>
        <w:t xml:space="preserve"> </w:t>
      </w:r>
      <w:r w:rsidR="0041680B" w:rsidRPr="001B5157">
        <w:rPr>
          <w:rFonts w:ascii="Cambria" w:hAnsi="Cambria"/>
          <w:sz w:val="22"/>
          <w:szCs w:val="22"/>
        </w:rPr>
        <w:t xml:space="preserve">percent. </w:t>
      </w:r>
    </w:p>
    <w:p w14:paraId="2E183823" w14:textId="77777777" w:rsidR="0041680B" w:rsidRPr="001B5157" w:rsidRDefault="0041680B" w:rsidP="001B5157">
      <w:pPr>
        <w:pStyle w:val="Heading3"/>
        <w:ind w:left="0" w:right="448"/>
        <w:rPr>
          <w:rFonts w:ascii="Cambria" w:hAnsi="Cambria"/>
        </w:rPr>
      </w:pPr>
    </w:p>
    <w:p w14:paraId="722E71AD" w14:textId="77777777" w:rsidR="00BD4E34" w:rsidRDefault="00BD4E34">
      <w:pPr>
        <w:rPr>
          <w:rFonts w:ascii="Cambria" w:hAnsi="Cambria"/>
        </w:rPr>
      </w:pPr>
      <w:r>
        <w:rPr>
          <w:rFonts w:ascii="Cambria" w:hAnsi="Cambria"/>
        </w:rPr>
        <w:br w:type="page"/>
      </w:r>
    </w:p>
    <w:p w14:paraId="7ACBE751" w14:textId="4F8C1C40" w:rsidR="00166BCD" w:rsidRPr="001B5157" w:rsidRDefault="005D037A" w:rsidP="001B5157">
      <w:pPr>
        <w:pStyle w:val="Heading3"/>
        <w:spacing w:line="276" w:lineRule="auto"/>
        <w:ind w:left="0"/>
        <w:rPr>
          <w:rFonts w:ascii="Cambria" w:hAnsi="Cambria"/>
        </w:rPr>
      </w:pPr>
      <w:r>
        <w:rPr>
          <w:rFonts w:ascii="Cambria" w:hAnsi="Cambria"/>
        </w:rPr>
        <w:lastRenderedPageBreak/>
        <w:t>For the year ended June 30, 202</w:t>
      </w:r>
      <w:r w:rsidR="00E70DA4">
        <w:rPr>
          <w:rFonts w:ascii="Cambria" w:hAnsi="Cambria"/>
        </w:rPr>
        <w:t>4</w:t>
      </w:r>
      <w:r w:rsidR="00166BCD" w:rsidRPr="001B5157">
        <w:rPr>
          <w:rFonts w:ascii="Cambria" w:hAnsi="Cambria"/>
        </w:rPr>
        <w:t xml:space="preserve">, the </w:t>
      </w:r>
      <w:proofErr w:type="gramStart"/>
      <w:r w:rsidR="0079651F">
        <w:rPr>
          <w:rFonts w:ascii="Cambria" w:hAnsi="Cambria"/>
        </w:rPr>
        <w:t>City</w:t>
      </w:r>
      <w:proofErr w:type="gramEnd"/>
      <w:r w:rsidR="0079651F">
        <w:rPr>
          <w:rFonts w:ascii="Cambria" w:hAnsi="Cambria"/>
        </w:rPr>
        <w:t xml:space="preserve"> </w:t>
      </w:r>
      <w:r w:rsidR="00166BCD" w:rsidRPr="001B5157">
        <w:rPr>
          <w:rFonts w:ascii="Cambria" w:hAnsi="Cambria"/>
        </w:rPr>
        <w:t xml:space="preserve">recognized OPEB </w:t>
      </w:r>
      <w:r w:rsidR="00947E46">
        <w:rPr>
          <w:rFonts w:ascii="Cambria" w:hAnsi="Cambria"/>
        </w:rPr>
        <w:t>income</w:t>
      </w:r>
      <w:r w:rsidR="00166BCD" w:rsidRPr="001B5157">
        <w:rPr>
          <w:rFonts w:ascii="Cambria" w:hAnsi="Cambria"/>
        </w:rPr>
        <w:t xml:space="preserve"> of </w:t>
      </w:r>
      <w:r w:rsidR="00D11CAA" w:rsidRPr="00D11CAA">
        <w:rPr>
          <w:rFonts w:ascii="Cambria" w:hAnsi="Cambria"/>
          <w:highlight w:val="lightGray"/>
        </w:rPr>
        <w:t>$</w:t>
      </w:r>
      <w:r w:rsidR="0079651F">
        <w:rPr>
          <w:rFonts w:ascii="Cambria" w:hAnsi="Cambria"/>
          <w:highlight w:val="lightGray"/>
        </w:rPr>
        <w:t>7</w:t>
      </w:r>
      <w:r w:rsidR="00D11CAA" w:rsidRPr="00D11CAA">
        <w:rPr>
          <w:rFonts w:ascii="Cambria" w:hAnsi="Cambria"/>
          <w:highlight w:val="lightGray"/>
        </w:rPr>
        <w:t>,</w:t>
      </w:r>
      <w:r w:rsidR="0079651F">
        <w:rPr>
          <w:rFonts w:ascii="Cambria" w:hAnsi="Cambria"/>
          <w:highlight w:val="lightGray"/>
        </w:rPr>
        <w:t>524</w:t>
      </w:r>
      <w:r w:rsidR="00D11CAA" w:rsidRPr="00D11CAA">
        <w:rPr>
          <w:rFonts w:ascii="Cambria" w:hAnsi="Cambria"/>
          <w:highlight w:val="lightGray"/>
        </w:rPr>
        <w:t>,</w:t>
      </w:r>
      <w:r w:rsidR="0079651F">
        <w:rPr>
          <w:rFonts w:ascii="Cambria" w:hAnsi="Cambria"/>
          <w:highlight w:val="lightGray"/>
        </w:rPr>
        <w:t>100</w:t>
      </w:r>
      <w:r w:rsidR="00EE7EE7">
        <w:rPr>
          <w:rFonts w:ascii="Cambria" w:hAnsi="Cambria"/>
        </w:rPr>
        <w:t xml:space="preserve">. </w:t>
      </w:r>
      <w:proofErr w:type="gramStart"/>
      <w:r w:rsidR="00EE7EE7">
        <w:rPr>
          <w:rFonts w:ascii="Cambria" w:hAnsi="Cambria"/>
        </w:rPr>
        <w:t>At</w:t>
      </w:r>
      <w:proofErr w:type="gramEnd"/>
      <w:r w:rsidR="00EE7EE7">
        <w:rPr>
          <w:rFonts w:ascii="Cambria" w:hAnsi="Cambria"/>
        </w:rPr>
        <w:t xml:space="preserve"> June 30, 202</w:t>
      </w:r>
      <w:r w:rsidR="00A60778">
        <w:rPr>
          <w:rFonts w:ascii="Cambria" w:hAnsi="Cambria"/>
        </w:rPr>
        <w:t>4</w:t>
      </w:r>
      <w:r w:rsidR="00B32130">
        <w:rPr>
          <w:rFonts w:ascii="Cambria" w:hAnsi="Cambria"/>
        </w:rPr>
        <w:t>,</w:t>
      </w:r>
      <w:r w:rsidR="00166BCD" w:rsidRPr="001B5157">
        <w:rPr>
          <w:rFonts w:ascii="Cambria" w:hAnsi="Cambria"/>
        </w:rPr>
        <w:t xml:space="preserve"> the </w:t>
      </w:r>
      <w:r w:rsidR="003A3CB0">
        <w:rPr>
          <w:rFonts w:ascii="Cambria" w:hAnsi="Cambria"/>
        </w:rPr>
        <w:t>City</w:t>
      </w:r>
      <w:r w:rsidR="00166BCD" w:rsidRPr="001B5157">
        <w:rPr>
          <w:rFonts w:ascii="Cambria" w:hAnsi="Cambria"/>
        </w:rPr>
        <w:t xml:space="preserve"> </w:t>
      </w:r>
      <w:r w:rsidR="00742E33" w:rsidRPr="001B5157">
        <w:rPr>
          <w:rFonts w:ascii="Cambria" w:hAnsi="Cambria"/>
        </w:rPr>
        <w:t>reported</w:t>
      </w:r>
      <w:r w:rsidR="00166BCD" w:rsidRPr="001B5157">
        <w:rPr>
          <w:rFonts w:ascii="Cambria" w:hAnsi="Cambria"/>
        </w:rPr>
        <w:t xml:space="preserve"> deferred outflows of resources and deferred inflows of resources related to OPEB from the following sources:</w:t>
      </w:r>
    </w:p>
    <w:p w14:paraId="7B75F6CC" w14:textId="77777777" w:rsidR="00166BCD" w:rsidRPr="001B5157" w:rsidRDefault="00166BCD" w:rsidP="001B5157">
      <w:pPr>
        <w:pStyle w:val="Heading3"/>
        <w:ind w:left="0" w:right="448"/>
        <w:rPr>
          <w:rFonts w:ascii="Cambria" w:hAnsi="Cambria"/>
        </w:rPr>
      </w:pPr>
    </w:p>
    <w:p w14:paraId="0BE0D0D3" w14:textId="62CDA794" w:rsidR="0079651F" w:rsidRDefault="00E70DA4" w:rsidP="00E70DA4">
      <w:pPr>
        <w:pStyle w:val="Heading3"/>
        <w:ind w:left="0" w:right="448"/>
        <w:rPr>
          <w:rFonts w:ascii="Cambria" w:hAnsi="Cambria"/>
        </w:rPr>
      </w:pPr>
      <w:r w:rsidRPr="00E70DA4">
        <w:drawing>
          <wp:inline distT="0" distB="0" distL="0" distR="0" wp14:anchorId="05506C57" wp14:editId="41BE96EC">
            <wp:extent cx="5720080" cy="3348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0080" cy="3348355"/>
                    </a:xfrm>
                    <a:prstGeom prst="rect">
                      <a:avLst/>
                    </a:prstGeom>
                    <a:noFill/>
                    <a:ln>
                      <a:noFill/>
                    </a:ln>
                  </pic:spPr>
                </pic:pic>
              </a:graphicData>
            </a:graphic>
          </wp:inline>
        </w:drawing>
      </w:r>
    </w:p>
    <w:p w14:paraId="01FD3D01" w14:textId="12493A68" w:rsidR="00FB5DB8" w:rsidRPr="000B7EDC" w:rsidRDefault="003D6C99" w:rsidP="000B7EDC">
      <w:pPr>
        <w:pStyle w:val="Heading3"/>
        <w:spacing w:line="276" w:lineRule="auto"/>
        <w:ind w:left="0"/>
        <w:rPr>
          <w:rFonts w:ascii="Cambria" w:hAnsi="Cambria"/>
        </w:rPr>
      </w:pPr>
      <w:r>
        <w:rPr>
          <w:rFonts w:ascii="Cambria" w:hAnsi="Cambria"/>
        </w:rPr>
        <w:t>D</w:t>
      </w:r>
      <w:r w:rsidR="00755308" w:rsidRPr="000B7EDC">
        <w:rPr>
          <w:rFonts w:ascii="Cambria" w:hAnsi="Cambria"/>
        </w:rPr>
        <w:t>eferred outflows of resources</w:t>
      </w:r>
      <w:r>
        <w:rPr>
          <w:rFonts w:ascii="Cambria" w:hAnsi="Cambria"/>
        </w:rPr>
        <w:t xml:space="preserve"> totaling</w:t>
      </w:r>
      <w:r w:rsidR="00755308" w:rsidRPr="000B7EDC">
        <w:rPr>
          <w:rFonts w:ascii="Cambria" w:hAnsi="Cambria"/>
        </w:rPr>
        <w:t xml:space="preserve"> </w:t>
      </w:r>
      <w:r w:rsidRPr="003D6C99">
        <w:rPr>
          <w:rFonts w:ascii="Cambria" w:hAnsi="Cambria"/>
          <w:highlight w:val="lightGray"/>
        </w:rPr>
        <w:t>$</w:t>
      </w:r>
      <w:r w:rsidR="0079651F">
        <w:rPr>
          <w:rFonts w:ascii="Cambria" w:hAnsi="Cambria"/>
          <w:highlight w:val="lightGray"/>
        </w:rPr>
        <w:t>1</w:t>
      </w:r>
      <w:r w:rsidR="005D037A">
        <w:rPr>
          <w:rFonts w:ascii="Cambria" w:hAnsi="Cambria"/>
          <w:highlight w:val="lightGray"/>
        </w:rPr>
        <w:t>,</w:t>
      </w:r>
      <w:r w:rsidR="0079651F">
        <w:rPr>
          <w:rFonts w:ascii="Cambria" w:hAnsi="Cambria"/>
          <w:highlight w:val="lightGray"/>
        </w:rPr>
        <w:t>7</w:t>
      </w:r>
      <w:r w:rsidR="005D037A">
        <w:rPr>
          <w:rFonts w:ascii="Cambria" w:hAnsi="Cambria"/>
          <w:highlight w:val="lightGray"/>
        </w:rPr>
        <w:t>00</w:t>
      </w:r>
      <w:r w:rsidR="0079651F">
        <w:rPr>
          <w:rFonts w:ascii="Cambria" w:hAnsi="Cambria"/>
          <w:highlight w:val="lightGray"/>
        </w:rPr>
        <w:t>,00</w:t>
      </w:r>
      <w:r w:rsidR="005D037A">
        <w:rPr>
          <w:rFonts w:ascii="Cambria" w:hAnsi="Cambria"/>
          <w:highlight w:val="lightGray"/>
        </w:rPr>
        <w:t>0</w:t>
      </w:r>
      <w:r>
        <w:rPr>
          <w:rFonts w:ascii="Cambria" w:hAnsi="Cambria"/>
        </w:rPr>
        <w:t xml:space="preserve"> </w:t>
      </w:r>
      <w:r w:rsidR="00755308" w:rsidRPr="000B7EDC">
        <w:rPr>
          <w:rFonts w:ascii="Cambria" w:hAnsi="Cambria"/>
        </w:rPr>
        <w:t>re</w:t>
      </w:r>
      <w:r>
        <w:rPr>
          <w:rFonts w:ascii="Cambria" w:hAnsi="Cambria"/>
        </w:rPr>
        <w:t>present</w:t>
      </w:r>
      <w:r w:rsidR="00755308" w:rsidRPr="000B7EDC">
        <w:rPr>
          <w:rFonts w:ascii="Cambria" w:hAnsi="Cambria"/>
        </w:rPr>
        <w:t xml:space="preserve"> </w:t>
      </w:r>
      <w:r w:rsidR="0079651F">
        <w:rPr>
          <w:rFonts w:ascii="Cambria" w:hAnsi="Cambria"/>
        </w:rPr>
        <w:t xml:space="preserve">City </w:t>
      </w:r>
      <w:r w:rsidR="00755308" w:rsidRPr="000B7EDC">
        <w:rPr>
          <w:rFonts w:ascii="Cambria" w:hAnsi="Cambria"/>
        </w:rPr>
        <w:t xml:space="preserve">contributions </w:t>
      </w:r>
      <w:r>
        <w:rPr>
          <w:rFonts w:ascii="Cambria" w:hAnsi="Cambria"/>
        </w:rPr>
        <w:t xml:space="preserve">to the Fund made </w:t>
      </w:r>
      <w:proofErr w:type="gramStart"/>
      <w:r w:rsidR="00755308" w:rsidRPr="000B7EDC">
        <w:rPr>
          <w:rFonts w:ascii="Cambria" w:hAnsi="Cambria"/>
        </w:rPr>
        <w:t>subsequent to</w:t>
      </w:r>
      <w:proofErr w:type="gramEnd"/>
      <w:r w:rsidR="00755308" w:rsidRPr="000B7EDC">
        <w:rPr>
          <w:rFonts w:ascii="Cambria" w:hAnsi="Cambria"/>
        </w:rPr>
        <w:t xml:space="preserve"> the measurement date </w:t>
      </w:r>
      <w:r>
        <w:rPr>
          <w:rFonts w:ascii="Cambria" w:hAnsi="Cambria"/>
        </w:rPr>
        <w:t xml:space="preserve">and </w:t>
      </w:r>
      <w:r w:rsidR="00755308" w:rsidRPr="000B7EDC">
        <w:rPr>
          <w:rFonts w:ascii="Cambria" w:hAnsi="Cambria"/>
        </w:rPr>
        <w:t>will be recognized as a reduction of net OPEB liability in the year end</w:t>
      </w:r>
      <w:r>
        <w:rPr>
          <w:rFonts w:ascii="Cambria" w:hAnsi="Cambria"/>
        </w:rPr>
        <w:t>ing</w:t>
      </w:r>
      <w:r w:rsidR="0018081A">
        <w:rPr>
          <w:rFonts w:ascii="Cambria" w:hAnsi="Cambria"/>
        </w:rPr>
        <w:t xml:space="preserve"> June 30, 202</w:t>
      </w:r>
      <w:r w:rsidR="00E70DA4">
        <w:rPr>
          <w:rFonts w:ascii="Cambria" w:hAnsi="Cambria"/>
        </w:rPr>
        <w:t>4</w:t>
      </w:r>
      <w:r w:rsidR="00755308" w:rsidRPr="000B7EDC">
        <w:rPr>
          <w:rFonts w:ascii="Cambria" w:hAnsi="Cambria"/>
        </w:rPr>
        <w:t>. Other amounts reported as deferred outflows of resources and deferred inflows of resources will be recognized in OPEB expense as follows:</w:t>
      </w:r>
    </w:p>
    <w:p w14:paraId="6B19F619" w14:textId="77777777" w:rsidR="00FB5DB8" w:rsidRPr="000B7EDC" w:rsidRDefault="00FB5DB8" w:rsidP="000B7EDC">
      <w:pPr>
        <w:pStyle w:val="Heading3"/>
        <w:ind w:left="0"/>
        <w:rPr>
          <w:rFonts w:ascii="Cambria" w:hAnsi="Cambria"/>
        </w:rPr>
      </w:pPr>
    </w:p>
    <w:p w14:paraId="5E0319C3" w14:textId="410B5D8F" w:rsidR="00FB5DB8" w:rsidRDefault="00E70DA4" w:rsidP="000B7EDC">
      <w:pPr>
        <w:pStyle w:val="Heading3"/>
        <w:ind w:left="0" w:right="448"/>
        <w:rPr>
          <w:sz w:val="20"/>
          <w:szCs w:val="20"/>
        </w:rPr>
      </w:pPr>
      <w:r w:rsidRPr="00E70DA4">
        <w:drawing>
          <wp:inline distT="0" distB="0" distL="0" distR="0" wp14:anchorId="3DA2D0A5" wp14:editId="3BDA4EBC">
            <wp:extent cx="2362200" cy="15957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0" cy="1595755"/>
                    </a:xfrm>
                    <a:prstGeom prst="rect">
                      <a:avLst/>
                    </a:prstGeom>
                    <a:noFill/>
                    <a:ln>
                      <a:noFill/>
                    </a:ln>
                  </pic:spPr>
                </pic:pic>
              </a:graphicData>
            </a:graphic>
          </wp:inline>
        </w:drawing>
      </w:r>
    </w:p>
    <w:p w14:paraId="38004859" w14:textId="77777777" w:rsidR="0018081A" w:rsidRDefault="0018081A">
      <w:pPr>
        <w:rPr>
          <w:rFonts w:ascii="Cambria" w:hAnsi="Cambria"/>
          <w:b/>
          <w:i/>
        </w:rPr>
      </w:pPr>
      <w:r>
        <w:rPr>
          <w:rFonts w:ascii="Cambria" w:hAnsi="Cambria"/>
          <w:b/>
          <w:i/>
        </w:rPr>
        <w:br w:type="page"/>
      </w:r>
    </w:p>
    <w:p w14:paraId="7DE4577E" w14:textId="6C1119ED" w:rsidR="00755308" w:rsidRPr="00076578" w:rsidRDefault="00755308" w:rsidP="00A803D4">
      <w:pPr>
        <w:pStyle w:val="Heading3"/>
        <w:spacing w:line="276" w:lineRule="auto"/>
        <w:ind w:left="0"/>
        <w:rPr>
          <w:rFonts w:ascii="Cambria" w:hAnsi="Cambria"/>
        </w:rPr>
      </w:pPr>
      <w:r w:rsidRPr="007E523A">
        <w:rPr>
          <w:rFonts w:ascii="Cambria" w:hAnsi="Cambria"/>
          <w:bCs/>
          <w:i/>
        </w:rPr>
        <w:lastRenderedPageBreak/>
        <w:t>Actuarial assumptions.</w:t>
      </w:r>
      <w:r w:rsidRPr="00076578">
        <w:rPr>
          <w:rFonts w:ascii="Cambria" w:hAnsi="Cambria"/>
        </w:rPr>
        <w:t xml:space="preserve"> The total OPEB liability was determined by an actuarial valuation </w:t>
      </w:r>
      <w:r w:rsidR="005D037A">
        <w:rPr>
          <w:rFonts w:ascii="Cambria" w:hAnsi="Cambria"/>
        </w:rPr>
        <w:t>as of June 30, 20</w:t>
      </w:r>
      <w:r w:rsidR="0035192D">
        <w:rPr>
          <w:rFonts w:ascii="Cambria" w:hAnsi="Cambria"/>
        </w:rPr>
        <w:t>2</w:t>
      </w:r>
      <w:r w:rsidR="00A60778">
        <w:rPr>
          <w:rFonts w:ascii="Cambria" w:hAnsi="Cambria"/>
        </w:rPr>
        <w:t>3</w:t>
      </w:r>
      <w:r w:rsidR="005D037A">
        <w:rPr>
          <w:rFonts w:ascii="Cambria" w:hAnsi="Cambria"/>
        </w:rPr>
        <w:t xml:space="preserve">, </w:t>
      </w:r>
      <w:r w:rsidRPr="00076578">
        <w:rPr>
          <w:rFonts w:ascii="Cambria" w:hAnsi="Cambria"/>
        </w:rPr>
        <w:t>using the following actuarial assumptions:</w:t>
      </w:r>
    </w:p>
    <w:p w14:paraId="3BFD82D2" w14:textId="77777777" w:rsidR="00755308" w:rsidRPr="00076578" w:rsidRDefault="00755308" w:rsidP="00A803D4">
      <w:pPr>
        <w:pStyle w:val="Heading3"/>
        <w:ind w:left="0"/>
        <w:rPr>
          <w:rFonts w:ascii="Cambria" w:hAnsi="Cambria"/>
          <w:b/>
          <w:i/>
        </w:rPr>
      </w:pPr>
    </w:p>
    <w:p w14:paraId="07908A7C" w14:textId="4F8CB8F5" w:rsidR="0022081D" w:rsidRDefault="00A60778" w:rsidP="000905C0">
      <w:pPr>
        <w:pStyle w:val="Heading3"/>
        <w:ind w:left="0" w:right="448"/>
        <w:rPr>
          <w:b/>
          <w:i/>
          <w:sz w:val="20"/>
          <w:szCs w:val="20"/>
        </w:rPr>
      </w:pPr>
      <w:r w:rsidRPr="00A60778">
        <w:rPr>
          <w:noProof/>
        </w:rPr>
        <w:drawing>
          <wp:inline distT="0" distB="0" distL="0" distR="0" wp14:anchorId="2A4F3A02" wp14:editId="05167961">
            <wp:extent cx="5943600" cy="3895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895090"/>
                    </a:xfrm>
                    <a:prstGeom prst="rect">
                      <a:avLst/>
                    </a:prstGeom>
                    <a:noFill/>
                    <a:ln>
                      <a:noFill/>
                    </a:ln>
                  </pic:spPr>
                </pic:pic>
              </a:graphicData>
            </a:graphic>
          </wp:inline>
        </w:drawing>
      </w:r>
    </w:p>
    <w:p w14:paraId="0E7C5281" w14:textId="77777777" w:rsidR="00F06DE6" w:rsidRDefault="00F06DE6" w:rsidP="0018081A">
      <w:pPr>
        <w:spacing w:line="276" w:lineRule="auto"/>
        <w:rPr>
          <w:rFonts w:ascii="Cambria" w:hAnsi="Cambria"/>
          <w:bCs/>
          <w:i/>
        </w:rPr>
      </w:pPr>
    </w:p>
    <w:p w14:paraId="4F1D6281" w14:textId="272D4351" w:rsidR="00755308" w:rsidRPr="0022081D" w:rsidRDefault="00755308" w:rsidP="0018081A">
      <w:pPr>
        <w:spacing w:line="276" w:lineRule="auto"/>
        <w:rPr>
          <w:rFonts w:ascii="Cambria" w:hAnsi="Cambria"/>
          <w:b/>
          <w:i/>
        </w:rPr>
      </w:pPr>
      <w:r w:rsidRPr="007E523A">
        <w:rPr>
          <w:rFonts w:ascii="Cambria" w:hAnsi="Cambria"/>
          <w:bCs/>
          <w:i/>
        </w:rPr>
        <w:t xml:space="preserve">Rate of </w:t>
      </w:r>
      <w:r w:rsidR="002130A3" w:rsidRPr="007E523A">
        <w:rPr>
          <w:rFonts w:ascii="Cambria" w:hAnsi="Cambria"/>
          <w:bCs/>
          <w:i/>
        </w:rPr>
        <w:t>r</w:t>
      </w:r>
      <w:r w:rsidRPr="007E523A">
        <w:rPr>
          <w:rFonts w:ascii="Cambria" w:hAnsi="Cambria"/>
          <w:bCs/>
          <w:i/>
        </w:rPr>
        <w:t>eturn</w:t>
      </w:r>
      <w:r w:rsidR="00F25ECC" w:rsidRPr="0022081D">
        <w:rPr>
          <w:rFonts w:ascii="Cambria" w:hAnsi="Cambria"/>
          <w:b/>
          <w:i/>
        </w:rPr>
        <w:t xml:space="preserve">. </w:t>
      </w:r>
      <w:r w:rsidRPr="0022081D">
        <w:rPr>
          <w:rFonts w:ascii="Cambria" w:hAnsi="Cambria"/>
        </w:rPr>
        <w:t xml:space="preserve">The long-term expected rate of return on OPEB plan investments was determined using a building-block method in which the expected future real rates of return (net of investment fees and inflation) are developed for each major asset class. These returns are combined to produce the long-term expected rate of return by weighting the expected future real rates of return by the target asset allocation percentage, adding expected </w:t>
      </w:r>
      <w:proofErr w:type="gramStart"/>
      <w:r w:rsidRPr="0022081D">
        <w:rPr>
          <w:rFonts w:ascii="Cambria" w:hAnsi="Cambria"/>
        </w:rPr>
        <w:t>inflation</w:t>
      </w:r>
      <w:proofErr w:type="gramEnd"/>
      <w:r w:rsidRPr="0022081D">
        <w:rPr>
          <w:rFonts w:ascii="Cambria" w:hAnsi="Cambria"/>
        </w:rPr>
        <w:t xml:space="preserve"> and subtracting expected investment expenses and a risk margin. The target allocation and projected arithmetic real rates of return for each major asset class, after deducting inflation, but before investment expenses, used in the derivation of the long-term expected investment rate of return assumptions.  </w:t>
      </w:r>
    </w:p>
    <w:p w14:paraId="3558D631" w14:textId="77777777" w:rsidR="00755308" w:rsidRPr="0022081D" w:rsidRDefault="00755308" w:rsidP="0022081D">
      <w:pPr>
        <w:pStyle w:val="Heading3"/>
        <w:spacing w:line="276" w:lineRule="auto"/>
        <w:ind w:left="0"/>
        <w:rPr>
          <w:rFonts w:ascii="Cambria" w:hAnsi="Cambria"/>
        </w:rPr>
      </w:pPr>
    </w:p>
    <w:p w14:paraId="2C1DDBC9" w14:textId="77777777" w:rsidR="00755308" w:rsidRPr="0022081D" w:rsidRDefault="00755308" w:rsidP="0022081D">
      <w:pPr>
        <w:pStyle w:val="Heading3"/>
        <w:spacing w:line="276" w:lineRule="auto"/>
        <w:ind w:left="0"/>
        <w:rPr>
          <w:rFonts w:ascii="Cambria" w:hAnsi="Cambria"/>
        </w:rPr>
      </w:pPr>
      <w:r w:rsidRPr="0022081D">
        <w:rPr>
          <w:rFonts w:ascii="Cambria" w:hAnsi="Cambria"/>
        </w:rPr>
        <w:t xml:space="preserve">The best estimates for the long-term expected rate of return </w:t>
      </w:r>
      <w:proofErr w:type="gramStart"/>
      <w:r w:rsidRPr="0022081D">
        <w:rPr>
          <w:rFonts w:ascii="Cambria" w:hAnsi="Cambria"/>
        </w:rPr>
        <w:t>is</w:t>
      </w:r>
      <w:proofErr w:type="gramEnd"/>
      <w:r w:rsidRPr="0022081D">
        <w:rPr>
          <w:rFonts w:ascii="Cambria" w:hAnsi="Cambria"/>
        </w:rPr>
        <w:t xml:space="preserve"> summarized as follows:</w:t>
      </w:r>
    </w:p>
    <w:p w14:paraId="10857A86" w14:textId="77777777" w:rsidR="00755308" w:rsidRPr="002B746A" w:rsidRDefault="00755308" w:rsidP="0022081D">
      <w:pPr>
        <w:pStyle w:val="Heading3"/>
        <w:ind w:left="0"/>
        <w:rPr>
          <w:b/>
          <w:i/>
          <w:sz w:val="20"/>
          <w:szCs w:val="20"/>
        </w:rPr>
      </w:pPr>
    </w:p>
    <w:p w14:paraId="03743060" w14:textId="56C93248" w:rsidR="00C66911" w:rsidRPr="00A60778" w:rsidRDefault="00A60778" w:rsidP="0022081D">
      <w:pPr>
        <w:pStyle w:val="Heading3"/>
        <w:ind w:left="0"/>
        <w:rPr>
          <w:sz w:val="20"/>
          <w:szCs w:val="20"/>
        </w:rPr>
      </w:pPr>
      <w:r w:rsidRPr="00A60778">
        <w:rPr>
          <w:noProof/>
        </w:rPr>
        <w:drawing>
          <wp:inline distT="0" distB="0" distL="0" distR="0" wp14:anchorId="4207200A" wp14:editId="657484D7">
            <wp:extent cx="2708275" cy="2016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08275" cy="2016125"/>
                    </a:xfrm>
                    <a:prstGeom prst="rect">
                      <a:avLst/>
                    </a:prstGeom>
                    <a:noFill/>
                    <a:ln>
                      <a:noFill/>
                    </a:ln>
                  </pic:spPr>
                </pic:pic>
              </a:graphicData>
            </a:graphic>
          </wp:inline>
        </w:drawing>
      </w:r>
    </w:p>
    <w:p w14:paraId="4EE45423" w14:textId="77777777" w:rsidR="00E70DA4" w:rsidRDefault="00E70DA4">
      <w:pPr>
        <w:rPr>
          <w:rFonts w:ascii="Cambria" w:hAnsi="Cambria"/>
          <w:bCs/>
          <w:i/>
        </w:rPr>
      </w:pPr>
      <w:r>
        <w:rPr>
          <w:rFonts w:ascii="Cambria" w:hAnsi="Cambria"/>
          <w:bCs/>
          <w:i/>
        </w:rPr>
        <w:br w:type="page"/>
      </w:r>
    </w:p>
    <w:p w14:paraId="1B70812F" w14:textId="671C9746" w:rsidR="00755308" w:rsidRPr="00A05ED7" w:rsidRDefault="00755308" w:rsidP="00A05ED7">
      <w:pPr>
        <w:pStyle w:val="NoteText"/>
        <w:rPr>
          <w:rFonts w:ascii="Cambria" w:eastAsia="Arial" w:hAnsi="Cambria" w:cs="Arial"/>
          <w:bCs/>
          <w:i/>
          <w:sz w:val="22"/>
          <w:szCs w:val="22"/>
        </w:rPr>
      </w:pPr>
      <w:r w:rsidRPr="00A05ED7">
        <w:rPr>
          <w:rFonts w:ascii="Cambria" w:eastAsia="Arial" w:hAnsi="Cambria" w:cs="Arial"/>
          <w:bCs/>
          <w:i/>
          <w:sz w:val="22"/>
          <w:szCs w:val="22"/>
        </w:rPr>
        <w:lastRenderedPageBreak/>
        <w:t xml:space="preserve">Discount </w:t>
      </w:r>
      <w:r w:rsidR="002130A3" w:rsidRPr="00A05ED7">
        <w:rPr>
          <w:rFonts w:ascii="Cambria" w:eastAsia="Arial" w:hAnsi="Cambria" w:cs="Arial"/>
          <w:bCs/>
          <w:i/>
          <w:sz w:val="22"/>
          <w:szCs w:val="22"/>
        </w:rPr>
        <w:t>r</w:t>
      </w:r>
      <w:r w:rsidRPr="00A05ED7">
        <w:rPr>
          <w:rFonts w:ascii="Cambria" w:eastAsia="Arial" w:hAnsi="Cambria" w:cs="Arial"/>
          <w:bCs/>
          <w:i/>
          <w:sz w:val="22"/>
          <w:szCs w:val="22"/>
        </w:rPr>
        <w:t>ate</w:t>
      </w:r>
      <w:r w:rsidR="00F25ECC" w:rsidRPr="00A05ED7">
        <w:rPr>
          <w:rFonts w:ascii="Cambria" w:eastAsia="Arial" w:hAnsi="Cambria" w:cs="Arial"/>
          <w:bCs/>
          <w:i/>
          <w:sz w:val="22"/>
          <w:szCs w:val="22"/>
        </w:rPr>
        <w:t>.</w:t>
      </w:r>
      <w:r w:rsidRPr="00A05ED7">
        <w:rPr>
          <w:rFonts w:ascii="Cambria" w:eastAsia="Arial" w:hAnsi="Cambria" w:cs="Arial"/>
          <w:bCs/>
          <w:i/>
          <w:sz w:val="22"/>
          <w:szCs w:val="22"/>
        </w:rPr>
        <w:t xml:space="preserve"> </w:t>
      </w:r>
      <w:r w:rsidR="00A05ED7" w:rsidRPr="00A05ED7">
        <w:rPr>
          <w:rFonts w:ascii="Cambria" w:eastAsia="Arial" w:hAnsi="Cambria" w:cs="Arial"/>
          <w:bCs/>
          <w:iCs/>
          <w:sz w:val="22"/>
          <w:szCs w:val="22"/>
        </w:rPr>
        <w:t>The discount rate used to measure the total OPEB liability is</w:t>
      </w:r>
      <w:r w:rsidR="00A05ED7" w:rsidRPr="0079651F">
        <w:rPr>
          <w:rFonts w:ascii="Cambria" w:eastAsia="Arial" w:hAnsi="Cambria" w:cs="Arial"/>
          <w:bCs/>
          <w:iCs/>
          <w:sz w:val="22"/>
          <w:szCs w:val="22"/>
        </w:rPr>
        <w:t xml:space="preserve"> </w:t>
      </w:r>
      <w:r w:rsidR="0079651F">
        <w:rPr>
          <w:rFonts w:ascii="Cambria" w:eastAsia="Arial" w:hAnsi="Cambria" w:cs="Arial"/>
          <w:bCs/>
          <w:iCs/>
          <w:sz w:val="22"/>
          <w:szCs w:val="22"/>
        </w:rPr>
        <w:t>6.22</w:t>
      </w:r>
      <w:r w:rsidR="00A05ED7" w:rsidRPr="0079651F">
        <w:rPr>
          <w:rFonts w:ascii="Cambria" w:eastAsia="Arial" w:hAnsi="Cambria" w:cs="Arial"/>
          <w:bCs/>
          <w:iCs/>
          <w:sz w:val="22"/>
          <w:szCs w:val="22"/>
        </w:rPr>
        <w:t xml:space="preserve">% </w:t>
      </w:r>
      <w:r w:rsidR="00A05ED7" w:rsidRPr="00A05ED7">
        <w:rPr>
          <w:rFonts w:ascii="Cambria" w:eastAsia="Arial" w:hAnsi="Cambria" w:cs="Arial"/>
          <w:bCs/>
          <w:iCs/>
          <w:sz w:val="22"/>
          <w:szCs w:val="22"/>
        </w:rPr>
        <w:t>as of June 30, 202</w:t>
      </w:r>
      <w:r w:rsidR="0079651F">
        <w:rPr>
          <w:rFonts w:ascii="Cambria" w:eastAsia="Arial" w:hAnsi="Cambria" w:cs="Arial"/>
          <w:bCs/>
          <w:iCs/>
          <w:sz w:val="22"/>
          <w:szCs w:val="22"/>
        </w:rPr>
        <w:t>3</w:t>
      </w:r>
      <w:r w:rsidR="00A05ED7" w:rsidRPr="00A05ED7">
        <w:rPr>
          <w:rFonts w:ascii="Cambria" w:eastAsia="Arial" w:hAnsi="Cambria" w:cs="Arial"/>
          <w:bCs/>
          <w:iCs/>
          <w:sz w:val="22"/>
          <w:szCs w:val="22"/>
        </w:rPr>
        <w:t xml:space="preserve">. The projection of cash flows used to determine the discount rate assumed that employer contributions will be made at rates proportional to the actuary determined contribution rates. For this purpose, employer contributions that are intended to fund benefits of current plan members and their beneficiaries are included. Projected employer contributions that are intended to fund the service costs for </w:t>
      </w:r>
      <w:proofErr w:type="gramStart"/>
      <w:r w:rsidR="00A05ED7" w:rsidRPr="00A05ED7">
        <w:rPr>
          <w:rFonts w:ascii="Cambria" w:eastAsia="Arial" w:hAnsi="Cambria" w:cs="Arial"/>
          <w:bCs/>
          <w:iCs/>
          <w:sz w:val="22"/>
          <w:szCs w:val="22"/>
        </w:rPr>
        <w:t>future plan</w:t>
      </w:r>
      <w:proofErr w:type="gramEnd"/>
      <w:r w:rsidR="00A05ED7" w:rsidRPr="00A05ED7">
        <w:rPr>
          <w:rFonts w:ascii="Cambria" w:eastAsia="Arial" w:hAnsi="Cambria" w:cs="Arial"/>
          <w:bCs/>
          <w:iCs/>
          <w:sz w:val="22"/>
          <w:szCs w:val="22"/>
        </w:rPr>
        <w:t xml:space="preserve"> members and their beneficiaries are not included. Based on those assumptions, the Authority's fiduciary net position was projected to be available to make all projected future benefit payments for current plan members through the fiscal year ending June 30, 2059. The 7.00% discount rate, which includes the assumed inflation rate of 2.30% for ERB members and 2.50% for PERA members, was used to calculate the net OPEB liability through 2052. Beyond 2059, the index rate for 20</w:t>
      </w:r>
      <w:r w:rsidR="00A05ED7" w:rsidRPr="00A05ED7">
        <w:rPr>
          <w:rFonts w:ascii="Cambria" w:eastAsia="Arial" w:hAnsi="Cambria" w:cs="Arial"/>
          <w:bCs/>
          <w:iCs/>
          <w:sz w:val="22"/>
          <w:szCs w:val="22"/>
        </w:rPr>
        <w:noBreakHyphen/>
        <w:t xml:space="preserve">year, tax exempt general obligation municipal bonds with an average rating of AA/Aa or higher (3.54%) was applied. Thus, </w:t>
      </w:r>
      <w:r w:rsidR="0079651F">
        <w:rPr>
          <w:rFonts w:ascii="Cambria" w:eastAsia="Arial" w:hAnsi="Cambria" w:cs="Arial"/>
          <w:bCs/>
          <w:iCs/>
          <w:sz w:val="22"/>
          <w:szCs w:val="22"/>
        </w:rPr>
        <w:t>6.22</w:t>
      </w:r>
      <w:r w:rsidR="00A05ED7" w:rsidRPr="00A05ED7">
        <w:rPr>
          <w:rFonts w:ascii="Cambria" w:eastAsia="Arial" w:hAnsi="Cambria" w:cs="Arial"/>
          <w:bCs/>
          <w:iCs/>
          <w:sz w:val="22"/>
          <w:szCs w:val="22"/>
        </w:rPr>
        <w:t>% is the blended discount rate.</w:t>
      </w:r>
    </w:p>
    <w:p w14:paraId="4618A54A" w14:textId="77777777" w:rsidR="00755308" w:rsidRPr="001F4307" w:rsidRDefault="00755308" w:rsidP="00755308">
      <w:pPr>
        <w:pStyle w:val="Heading3"/>
        <w:ind w:left="0" w:right="448"/>
        <w:rPr>
          <w:rFonts w:ascii="Cambria" w:hAnsi="Cambria"/>
          <w:b/>
          <w:i/>
        </w:rPr>
      </w:pPr>
    </w:p>
    <w:p w14:paraId="3A89F115" w14:textId="17CE2BF0" w:rsidR="00755308" w:rsidRPr="001F4307" w:rsidRDefault="00755308" w:rsidP="00EF3466">
      <w:pPr>
        <w:pStyle w:val="Heading3"/>
        <w:spacing w:line="276" w:lineRule="auto"/>
        <w:ind w:left="0"/>
        <w:rPr>
          <w:rFonts w:ascii="Cambria" w:hAnsi="Cambria"/>
        </w:rPr>
      </w:pPr>
      <w:r w:rsidRPr="007E523A">
        <w:rPr>
          <w:rFonts w:ascii="Cambria" w:hAnsi="Cambria"/>
          <w:bCs/>
          <w:i/>
        </w:rPr>
        <w:t>Sensitivity of the net OPEB liability to changes in the discount rate and healthcare cost trend rates</w:t>
      </w:r>
      <w:r w:rsidR="00F25ECC" w:rsidRPr="007E523A">
        <w:rPr>
          <w:rFonts w:ascii="Cambria" w:hAnsi="Cambria"/>
          <w:bCs/>
          <w:i/>
        </w:rPr>
        <w:t>.</w:t>
      </w:r>
      <w:r w:rsidRPr="001F4307">
        <w:rPr>
          <w:rFonts w:ascii="Cambria" w:hAnsi="Cambria"/>
          <w:i/>
        </w:rPr>
        <w:t xml:space="preserve"> </w:t>
      </w:r>
      <w:r w:rsidR="00711F27">
        <w:t>Th</w:t>
      </w:r>
      <w:r w:rsidR="00711F27" w:rsidRPr="00711F27">
        <w:rPr>
          <w:rFonts w:ascii="Cambria" w:hAnsi="Cambria"/>
          <w:bCs/>
          <w:iCs/>
        </w:rPr>
        <w:t xml:space="preserve">e following presents the net OPEB liability, calculated using the discount rate of </w:t>
      </w:r>
      <w:r w:rsidR="0079651F">
        <w:rPr>
          <w:rFonts w:ascii="Cambria" w:hAnsi="Cambria"/>
          <w:bCs/>
          <w:iCs/>
        </w:rPr>
        <w:t>6.22</w:t>
      </w:r>
      <w:r w:rsidR="00711F27" w:rsidRPr="00711F27">
        <w:rPr>
          <w:rFonts w:ascii="Cambria" w:hAnsi="Cambria"/>
          <w:bCs/>
          <w:iCs/>
        </w:rPr>
        <w:t>% as of June 30, 202</w:t>
      </w:r>
      <w:r w:rsidR="003A3CB0">
        <w:rPr>
          <w:rFonts w:ascii="Cambria" w:hAnsi="Cambria"/>
          <w:bCs/>
          <w:iCs/>
        </w:rPr>
        <w:t>3</w:t>
      </w:r>
      <w:r w:rsidR="00711F27" w:rsidRPr="00711F27">
        <w:rPr>
          <w:rFonts w:ascii="Cambria" w:hAnsi="Cambria"/>
          <w:bCs/>
          <w:iCs/>
        </w:rPr>
        <w:t>, as well as what the Fund's net OPEB liability would be if it were calculated using a discount rate that is 1‐percent lower or 1‐percent higher than the current rate</w:t>
      </w:r>
      <w:r w:rsidRPr="00711F27">
        <w:rPr>
          <w:rFonts w:ascii="Cambria" w:hAnsi="Cambria"/>
          <w:bCs/>
          <w:iCs/>
        </w:rPr>
        <w:t>:</w:t>
      </w:r>
    </w:p>
    <w:p w14:paraId="58F28D5E" w14:textId="77777777" w:rsidR="00755308" w:rsidRPr="001F4307" w:rsidRDefault="00755308" w:rsidP="00B1148E">
      <w:pPr>
        <w:pStyle w:val="Heading3"/>
        <w:ind w:left="-90" w:right="448"/>
        <w:rPr>
          <w:rFonts w:ascii="Cambria" w:hAnsi="Cambria"/>
        </w:rPr>
      </w:pPr>
    </w:p>
    <w:p w14:paraId="6C2627B6" w14:textId="69FE9E32" w:rsidR="00755308" w:rsidRDefault="00E70DA4" w:rsidP="00B1148E">
      <w:pPr>
        <w:pStyle w:val="Heading3"/>
        <w:ind w:left="-90" w:right="448"/>
        <w:rPr>
          <w:sz w:val="20"/>
          <w:szCs w:val="20"/>
        </w:rPr>
      </w:pPr>
      <w:r w:rsidRPr="00E70DA4">
        <w:drawing>
          <wp:inline distT="0" distB="0" distL="0" distR="0" wp14:anchorId="47284D98" wp14:editId="3DEDE1DD">
            <wp:extent cx="3419475" cy="5670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19475" cy="567055"/>
                    </a:xfrm>
                    <a:prstGeom prst="rect">
                      <a:avLst/>
                    </a:prstGeom>
                    <a:noFill/>
                    <a:ln>
                      <a:noFill/>
                    </a:ln>
                  </pic:spPr>
                </pic:pic>
              </a:graphicData>
            </a:graphic>
          </wp:inline>
        </w:drawing>
      </w:r>
    </w:p>
    <w:p w14:paraId="0ECE65C9" w14:textId="77777777" w:rsidR="00755308" w:rsidRPr="00EF3466" w:rsidRDefault="00755308" w:rsidP="00EF3466">
      <w:pPr>
        <w:pStyle w:val="Heading3"/>
        <w:ind w:left="0"/>
        <w:rPr>
          <w:rFonts w:ascii="Cambria" w:hAnsi="Cambria"/>
          <w:sz w:val="20"/>
          <w:szCs w:val="20"/>
        </w:rPr>
      </w:pPr>
    </w:p>
    <w:p w14:paraId="1F237C74" w14:textId="7FD68268" w:rsidR="00755308" w:rsidRPr="00810B86" w:rsidRDefault="00755308" w:rsidP="000F7AEB">
      <w:pPr>
        <w:spacing w:line="276" w:lineRule="auto"/>
        <w:rPr>
          <w:rFonts w:ascii="Cambria" w:hAnsi="Cambria"/>
        </w:rPr>
      </w:pPr>
      <w:r w:rsidRPr="00810B86">
        <w:rPr>
          <w:rFonts w:ascii="Cambria" w:hAnsi="Cambria"/>
        </w:rPr>
        <w:t xml:space="preserve">The following presents the net OPEB liability of the </w:t>
      </w:r>
      <w:r w:rsidR="003A3CB0">
        <w:rPr>
          <w:rFonts w:ascii="Cambria" w:hAnsi="Cambria"/>
        </w:rPr>
        <w:t>City</w:t>
      </w:r>
      <w:r w:rsidRPr="00810B86">
        <w:rPr>
          <w:rFonts w:ascii="Cambria" w:hAnsi="Cambria"/>
        </w:rPr>
        <w:t>, as well as what the</w:t>
      </w:r>
      <w:r w:rsidR="00F25ECC" w:rsidRPr="00810B86">
        <w:rPr>
          <w:rFonts w:ascii="Cambria" w:hAnsi="Cambria"/>
        </w:rPr>
        <w:t xml:space="preserve"> </w:t>
      </w:r>
      <w:r w:rsidR="003A3CB0">
        <w:rPr>
          <w:rFonts w:ascii="Cambria" w:hAnsi="Cambria"/>
        </w:rPr>
        <w:t>City’s</w:t>
      </w:r>
      <w:r w:rsidRPr="00810B86">
        <w:rPr>
          <w:rFonts w:ascii="Cambria" w:hAnsi="Cambria"/>
        </w:rPr>
        <w:t xml:space="preserve"> net OPEB liability would be if it were calculated using healthcare cost trend rates that are 1-percentage-point lower or 1-percentage-point higher than the current healthcare cost trend rates:</w:t>
      </w:r>
    </w:p>
    <w:p w14:paraId="2F6A3CF7" w14:textId="77777777" w:rsidR="00755308" w:rsidRPr="00810B86" w:rsidRDefault="00755308" w:rsidP="00EF3466">
      <w:pPr>
        <w:pStyle w:val="Heading3"/>
        <w:ind w:left="0"/>
        <w:rPr>
          <w:rFonts w:ascii="Cambria" w:hAnsi="Cambria"/>
        </w:rPr>
      </w:pPr>
    </w:p>
    <w:p w14:paraId="19B1ACDE" w14:textId="64EE82EA" w:rsidR="00755308" w:rsidRDefault="00E70DA4" w:rsidP="00E65CFC">
      <w:pPr>
        <w:pStyle w:val="Heading3"/>
        <w:ind w:left="0" w:right="448"/>
        <w:rPr>
          <w:sz w:val="20"/>
          <w:szCs w:val="20"/>
        </w:rPr>
      </w:pPr>
      <w:r w:rsidRPr="00E70DA4">
        <w:drawing>
          <wp:inline distT="0" distB="0" distL="0" distR="0" wp14:anchorId="083564DE" wp14:editId="6AC6BA85">
            <wp:extent cx="3419475" cy="5670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19475" cy="567055"/>
                    </a:xfrm>
                    <a:prstGeom prst="rect">
                      <a:avLst/>
                    </a:prstGeom>
                    <a:noFill/>
                    <a:ln>
                      <a:noFill/>
                    </a:ln>
                  </pic:spPr>
                </pic:pic>
              </a:graphicData>
            </a:graphic>
          </wp:inline>
        </w:drawing>
      </w:r>
    </w:p>
    <w:p w14:paraId="50419205" w14:textId="77777777" w:rsidR="00755308" w:rsidRPr="00810B86" w:rsidRDefault="00755308" w:rsidP="00810B86">
      <w:pPr>
        <w:pStyle w:val="Heading3"/>
        <w:ind w:left="0"/>
        <w:rPr>
          <w:rFonts w:ascii="Cambria" w:hAnsi="Cambria"/>
        </w:rPr>
      </w:pPr>
    </w:p>
    <w:p w14:paraId="7E8BADB1" w14:textId="2C654852" w:rsidR="00755308" w:rsidRPr="00810B86" w:rsidRDefault="00755308" w:rsidP="00810B86">
      <w:pPr>
        <w:pStyle w:val="Heading3"/>
        <w:spacing w:line="276" w:lineRule="auto"/>
        <w:ind w:left="0"/>
        <w:rPr>
          <w:rFonts w:ascii="Cambria" w:hAnsi="Cambria"/>
        </w:rPr>
      </w:pPr>
      <w:r w:rsidRPr="007E523A">
        <w:rPr>
          <w:rFonts w:ascii="Cambria" w:hAnsi="Cambria"/>
          <w:bCs/>
          <w:i/>
        </w:rPr>
        <w:t>OPEB plan fiduciary net position</w:t>
      </w:r>
      <w:r w:rsidR="00F25ECC" w:rsidRPr="007E523A">
        <w:rPr>
          <w:rFonts w:ascii="Cambria" w:hAnsi="Cambria"/>
          <w:bCs/>
          <w:i/>
        </w:rPr>
        <w:t>.</w:t>
      </w:r>
      <w:r w:rsidRPr="00810B86">
        <w:rPr>
          <w:rFonts w:ascii="Cambria" w:hAnsi="Cambria"/>
        </w:rPr>
        <w:t xml:space="preserve"> Detailed information about the OPEB plan’s</w:t>
      </w:r>
      <w:r w:rsidR="00F25ECC" w:rsidRPr="00810B86">
        <w:rPr>
          <w:rFonts w:ascii="Cambria" w:hAnsi="Cambria"/>
        </w:rPr>
        <w:t xml:space="preserve"> </w:t>
      </w:r>
      <w:r w:rsidRPr="00810B86">
        <w:rPr>
          <w:rFonts w:ascii="Cambria" w:hAnsi="Cambria"/>
        </w:rPr>
        <w:t>fiduciary n</w:t>
      </w:r>
      <w:r w:rsidR="005C2EBE">
        <w:rPr>
          <w:rFonts w:ascii="Cambria" w:hAnsi="Cambria"/>
        </w:rPr>
        <w:t>et position is available in NMRHCA’s audited financial statements for the year ended Ju</w:t>
      </w:r>
      <w:r w:rsidR="00336A0E">
        <w:rPr>
          <w:rFonts w:ascii="Cambria" w:hAnsi="Cambria"/>
        </w:rPr>
        <w:t>ne 30, 20</w:t>
      </w:r>
      <w:r w:rsidR="00057E52">
        <w:rPr>
          <w:rFonts w:ascii="Cambria" w:hAnsi="Cambria"/>
        </w:rPr>
        <w:t>2</w:t>
      </w:r>
      <w:r w:rsidR="0079651F">
        <w:rPr>
          <w:rFonts w:ascii="Cambria" w:hAnsi="Cambria"/>
        </w:rPr>
        <w:t>3</w:t>
      </w:r>
      <w:r w:rsidRPr="00810B86">
        <w:rPr>
          <w:rFonts w:ascii="Cambria" w:hAnsi="Cambria"/>
        </w:rPr>
        <w:t>.</w:t>
      </w:r>
    </w:p>
    <w:p w14:paraId="4F93645F" w14:textId="77777777" w:rsidR="00FB5DB8" w:rsidRPr="00810B86" w:rsidRDefault="00FB5DB8" w:rsidP="00810B86">
      <w:pPr>
        <w:pStyle w:val="Heading3"/>
        <w:ind w:left="0"/>
        <w:rPr>
          <w:rFonts w:ascii="Cambria" w:hAnsi="Cambria"/>
        </w:rPr>
      </w:pPr>
    </w:p>
    <w:p w14:paraId="113CD2A8" w14:textId="2FFADA41" w:rsidR="007E523A" w:rsidRDefault="00FB5DB8" w:rsidP="00810B86">
      <w:pPr>
        <w:pStyle w:val="Heading3"/>
        <w:spacing w:line="276" w:lineRule="auto"/>
        <w:ind w:left="0"/>
        <w:rPr>
          <w:rFonts w:ascii="Cambria" w:hAnsi="Cambria"/>
          <w:b/>
        </w:rPr>
      </w:pPr>
      <w:r w:rsidRPr="007E523A">
        <w:rPr>
          <w:rFonts w:ascii="Cambria" w:hAnsi="Cambria"/>
          <w:b/>
          <w:i/>
          <w:iCs/>
        </w:rPr>
        <w:t>Payable</w:t>
      </w:r>
      <w:r w:rsidR="007E523A">
        <w:rPr>
          <w:rFonts w:ascii="Cambria" w:hAnsi="Cambria"/>
          <w:b/>
          <w:i/>
          <w:iCs/>
        </w:rPr>
        <w:t xml:space="preserve"> to</w:t>
      </w:r>
      <w:r w:rsidRPr="007E523A">
        <w:rPr>
          <w:rFonts w:ascii="Cambria" w:hAnsi="Cambria"/>
          <w:b/>
          <w:i/>
          <w:iCs/>
        </w:rPr>
        <w:t xml:space="preserve"> the </w:t>
      </w:r>
      <w:r w:rsidR="007E523A">
        <w:rPr>
          <w:rFonts w:ascii="Cambria" w:hAnsi="Cambria"/>
          <w:b/>
          <w:i/>
          <w:iCs/>
        </w:rPr>
        <w:t>OPEB Plan</w:t>
      </w:r>
      <w:r w:rsidR="00F25ECC" w:rsidRPr="00810B86">
        <w:rPr>
          <w:rFonts w:ascii="Cambria" w:hAnsi="Cambria"/>
          <w:b/>
        </w:rPr>
        <w:t xml:space="preserve"> </w:t>
      </w:r>
    </w:p>
    <w:p w14:paraId="35944766" w14:textId="77777777" w:rsidR="007E523A" w:rsidRDefault="007E523A" w:rsidP="00810B86">
      <w:pPr>
        <w:pStyle w:val="Heading3"/>
        <w:spacing w:line="276" w:lineRule="auto"/>
        <w:ind w:left="0"/>
        <w:rPr>
          <w:rFonts w:ascii="Cambria" w:hAnsi="Cambria"/>
          <w:b/>
        </w:rPr>
      </w:pPr>
    </w:p>
    <w:p w14:paraId="647E8121" w14:textId="6F04C2AB" w:rsidR="00830F40" w:rsidRPr="00810B86" w:rsidRDefault="00533794" w:rsidP="00810B86">
      <w:pPr>
        <w:pStyle w:val="Heading3"/>
        <w:spacing w:line="276" w:lineRule="auto"/>
        <w:ind w:left="0"/>
        <w:rPr>
          <w:rFonts w:ascii="Cambria" w:hAnsi="Cambria"/>
          <w:b/>
        </w:rPr>
      </w:pPr>
      <w:proofErr w:type="gramStart"/>
      <w:r>
        <w:rPr>
          <w:rFonts w:ascii="Cambria" w:hAnsi="Cambria"/>
        </w:rPr>
        <w:t>At</w:t>
      </w:r>
      <w:proofErr w:type="gramEnd"/>
      <w:r>
        <w:rPr>
          <w:rFonts w:ascii="Cambria" w:hAnsi="Cambria"/>
        </w:rPr>
        <w:t xml:space="preserve"> June 30, 20</w:t>
      </w:r>
      <w:r w:rsidR="00336A0E">
        <w:rPr>
          <w:rFonts w:ascii="Cambria" w:hAnsi="Cambria"/>
        </w:rPr>
        <w:t>2</w:t>
      </w:r>
      <w:r w:rsidR="00E70DA4">
        <w:rPr>
          <w:rFonts w:ascii="Cambria" w:hAnsi="Cambria"/>
        </w:rPr>
        <w:t>4</w:t>
      </w:r>
      <w:r w:rsidR="00FB5DB8" w:rsidRPr="00810B86">
        <w:rPr>
          <w:rFonts w:ascii="Cambria" w:hAnsi="Cambria"/>
        </w:rPr>
        <w:t xml:space="preserve">, the </w:t>
      </w:r>
      <w:r w:rsidR="0079651F">
        <w:rPr>
          <w:rFonts w:ascii="Cambria" w:hAnsi="Cambria"/>
        </w:rPr>
        <w:t>City</w:t>
      </w:r>
      <w:r w:rsidR="003A3CB0">
        <w:rPr>
          <w:rFonts w:ascii="Cambria" w:hAnsi="Cambria"/>
        </w:rPr>
        <w:t xml:space="preserve"> </w:t>
      </w:r>
      <w:r w:rsidR="00FB5DB8" w:rsidRPr="00810B86">
        <w:rPr>
          <w:rFonts w:ascii="Cambria" w:hAnsi="Cambria"/>
        </w:rPr>
        <w:t xml:space="preserve">reported a payable of </w:t>
      </w:r>
      <w:r w:rsidR="00FB5DB8" w:rsidRPr="00533794">
        <w:rPr>
          <w:rFonts w:ascii="Cambria" w:hAnsi="Cambria"/>
          <w:highlight w:val="lightGray"/>
        </w:rPr>
        <w:t>$</w:t>
      </w:r>
      <w:r w:rsidRPr="00533794">
        <w:rPr>
          <w:rFonts w:ascii="Cambria" w:hAnsi="Cambria"/>
          <w:highlight w:val="lightGray"/>
        </w:rPr>
        <w:t>________</w:t>
      </w:r>
      <w:r w:rsidR="00FB5DB8" w:rsidRPr="00810B86">
        <w:rPr>
          <w:rFonts w:ascii="Cambria" w:hAnsi="Cambria"/>
        </w:rPr>
        <w:t xml:space="preserve"> for outstanding</w:t>
      </w:r>
      <w:r w:rsidR="00F25ECC" w:rsidRPr="00810B86">
        <w:rPr>
          <w:rFonts w:ascii="Cambria" w:hAnsi="Cambria"/>
          <w:b/>
        </w:rPr>
        <w:t xml:space="preserve"> </w:t>
      </w:r>
      <w:r w:rsidR="00FB5DB8" w:rsidRPr="00810B86">
        <w:rPr>
          <w:rFonts w:ascii="Cambria" w:hAnsi="Cambria"/>
        </w:rPr>
        <w:t xml:space="preserve">contributions </w:t>
      </w:r>
      <w:r w:rsidR="005C2EBE">
        <w:rPr>
          <w:rFonts w:ascii="Cambria" w:hAnsi="Cambria"/>
        </w:rPr>
        <w:t xml:space="preserve">due </w:t>
      </w:r>
      <w:r w:rsidR="00FB5DB8" w:rsidRPr="00810B86">
        <w:rPr>
          <w:rFonts w:ascii="Cambria" w:hAnsi="Cambria"/>
        </w:rPr>
        <w:t xml:space="preserve">to </w:t>
      </w:r>
      <w:r w:rsidR="00B144DC" w:rsidRPr="00810B86">
        <w:rPr>
          <w:rFonts w:ascii="Cambria" w:hAnsi="Cambria"/>
        </w:rPr>
        <w:t>NMRHCA</w:t>
      </w:r>
      <w:r w:rsidR="00FB5DB8" w:rsidRPr="00810B86">
        <w:rPr>
          <w:rFonts w:ascii="Cambria" w:hAnsi="Cambria"/>
        </w:rPr>
        <w:t xml:space="preserve"> </w:t>
      </w:r>
      <w:r w:rsidR="005C2EBE">
        <w:rPr>
          <w:rFonts w:ascii="Cambria" w:hAnsi="Cambria"/>
        </w:rPr>
        <w:t>f</w:t>
      </w:r>
      <w:r w:rsidR="00830F40" w:rsidRPr="00810B86">
        <w:rPr>
          <w:rFonts w:ascii="Cambria" w:hAnsi="Cambria"/>
        </w:rPr>
        <w:t>or the year ended June</w:t>
      </w:r>
      <w:bookmarkStart w:id="3" w:name="OLE_LINK13"/>
      <w:bookmarkStart w:id="4" w:name="OLE_LINK14"/>
      <w:r w:rsidR="00DF3DF5" w:rsidRPr="006B65B3">
        <w:rPr>
          <w:sz w:val="20"/>
          <w:szCs w:val="20"/>
        </w:rPr>
        <w:t> </w:t>
      </w:r>
      <w:bookmarkEnd w:id="3"/>
      <w:bookmarkEnd w:id="4"/>
      <w:r>
        <w:rPr>
          <w:rFonts w:ascii="Cambria" w:hAnsi="Cambria"/>
        </w:rPr>
        <w:t>30, 20</w:t>
      </w:r>
      <w:r w:rsidR="00336A0E">
        <w:rPr>
          <w:rFonts w:ascii="Cambria" w:hAnsi="Cambria"/>
        </w:rPr>
        <w:t>2</w:t>
      </w:r>
      <w:r w:rsidR="0079651F">
        <w:rPr>
          <w:rFonts w:ascii="Cambria" w:hAnsi="Cambria"/>
        </w:rPr>
        <w:t>4</w:t>
      </w:r>
      <w:r w:rsidR="00FB5DB8" w:rsidRPr="00810B86">
        <w:rPr>
          <w:rFonts w:ascii="Cambria" w:hAnsi="Cambria"/>
        </w:rPr>
        <w:t>.</w:t>
      </w:r>
    </w:p>
    <w:p w14:paraId="642CA90D" w14:textId="77777777" w:rsidR="00830F40" w:rsidRPr="00810B86" w:rsidRDefault="00830F40" w:rsidP="00810B86">
      <w:pPr>
        <w:pStyle w:val="Heading3"/>
        <w:ind w:left="0"/>
        <w:rPr>
          <w:rFonts w:ascii="Cambria" w:hAnsi="Cambria"/>
        </w:rPr>
      </w:pPr>
    </w:p>
    <w:p w14:paraId="205E3E4D" w14:textId="77777777" w:rsidR="00830F40" w:rsidRPr="00810B86" w:rsidRDefault="00830F40" w:rsidP="00810B86">
      <w:pPr>
        <w:rPr>
          <w:rFonts w:ascii="Cambria" w:hAnsi="Cambria"/>
        </w:rPr>
      </w:pPr>
      <w:r w:rsidRPr="00810B86">
        <w:rPr>
          <w:rFonts w:ascii="Cambria" w:hAnsi="Cambria"/>
        </w:rPr>
        <w:br w:type="page"/>
      </w:r>
    </w:p>
    <w:p w14:paraId="4B8890DA" w14:textId="77777777" w:rsidR="003A3CB0" w:rsidRPr="0017736A" w:rsidRDefault="003A3CB0" w:rsidP="003A3CB0">
      <w:pPr>
        <w:pStyle w:val="Heading4"/>
        <w:spacing w:before="94"/>
        <w:ind w:left="0" w:right="-90"/>
        <w:jc w:val="center"/>
        <w:rPr>
          <w:rFonts w:ascii="Cambria" w:hAnsi="Cambria"/>
          <w:sz w:val="22"/>
          <w:szCs w:val="22"/>
        </w:rPr>
      </w:pPr>
      <w:r>
        <w:rPr>
          <w:rFonts w:ascii="Cambria" w:hAnsi="Cambria"/>
          <w:sz w:val="22"/>
          <w:szCs w:val="22"/>
        </w:rPr>
        <w:lastRenderedPageBreak/>
        <w:t>City of Las Cruces</w:t>
      </w:r>
    </w:p>
    <w:p w14:paraId="4F931859" w14:textId="77777777" w:rsidR="007D6F8D" w:rsidRPr="007D6F8D" w:rsidRDefault="007B40C4" w:rsidP="007D6F8D">
      <w:pPr>
        <w:jc w:val="center"/>
        <w:rPr>
          <w:rFonts w:ascii="Cambria" w:hAnsi="Cambria"/>
          <w:b/>
        </w:rPr>
      </w:pPr>
      <w:r w:rsidRPr="007D6F8D">
        <w:rPr>
          <w:rFonts w:ascii="Cambria" w:hAnsi="Cambria"/>
          <w:b/>
        </w:rPr>
        <w:t xml:space="preserve">Required Supplementary Information </w:t>
      </w:r>
    </w:p>
    <w:p w14:paraId="5919F5E2" w14:textId="23192107" w:rsidR="007B40C4" w:rsidRPr="007D6F8D" w:rsidRDefault="00923989" w:rsidP="007D6F8D">
      <w:pPr>
        <w:jc w:val="center"/>
        <w:rPr>
          <w:rFonts w:ascii="Cambria" w:hAnsi="Cambria"/>
        </w:rPr>
      </w:pPr>
      <w:r>
        <w:rPr>
          <w:rFonts w:ascii="Cambria" w:hAnsi="Cambria"/>
          <w:b/>
        </w:rPr>
        <w:t>for the Year Ended June 30, 20</w:t>
      </w:r>
      <w:r w:rsidR="003045BC">
        <w:rPr>
          <w:rFonts w:ascii="Cambria" w:hAnsi="Cambria"/>
          <w:b/>
        </w:rPr>
        <w:t>2</w:t>
      </w:r>
      <w:r w:rsidR="00D11CAA">
        <w:rPr>
          <w:rFonts w:ascii="Cambria" w:hAnsi="Cambria"/>
          <w:b/>
        </w:rPr>
        <w:t>3</w:t>
      </w:r>
      <w:r w:rsidR="007B40C4" w:rsidRPr="007D6F8D">
        <w:rPr>
          <w:rFonts w:ascii="Cambria" w:hAnsi="Cambria"/>
          <w:b/>
        </w:rPr>
        <w:t xml:space="preserve"> </w:t>
      </w:r>
    </w:p>
    <w:p w14:paraId="53FAB9FD" w14:textId="77777777" w:rsidR="007B40C4" w:rsidRPr="007D6F8D" w:rsidRDefault="007B40C4" w:rsidP="007D6F8D">
      <w:pPr>
        <w:pStyle w:val="Heading3"/>
        <w:ind w:left="0" w:right="448"/>
        <w:rPr>
          <w:rFonts w:ascii="Cambria" w:hAnsi="Cambria"/>
        </w:rPr>
      </w:pPr>
    </w:p>
    <w:p w14:paraId="54BE0569" w14:textId="77777777" w:rsidR="007D6F8D" w:rsidRPr="007D6F8D" w:rsidRDefault="007D6F8D" w:rsidP="007D6F8D">
      <w:pPr>
        <w:pStyle w:val="Heading3"/>
        <w:ind w:left="0" w:right="448"/>
        <w:rPr>
          <w:rFonts w:ascii="Cambria" w:hAnsi="Cambria"/>
        </w:rPr>
      </w:pPr>
    </w:p>
    <w:p w14:paraId="18E27992" w14:textId="77777777" w:rsidR="00E50CBF" w:rsidRPr="0017736A" w:rsidRDefault="00E50CBF" w:rsidP="007D6F8D">
      <w:pPr>
        <w:pStyle w:val="Heading3"/>
        <w:ind w:left="0" w:right="448"/>
        <w:rPr>
          <w:rFonts w:ascii="Cambria" w:hAnsi="Cambria"/>
          <w:b/>
        </w:rPr>
      </w:pPr>
      <w:r w:rsidRPr="0017736A">
        <w:rPr>
          <w:rFonts w:ascii="Cambria" w:hAnsi="Cambria"/>
          <w:b/>
        </w:rPr>
        <w:t>SCHEDULE OF EMPLOYER'S PROPORTIONATE SHARE OF THE NET OPEB LIABILITY</w:t>
      </w:r>
    </w:p>
    <w:p w14:paraId="435E8325" w14:textId="77777777" w:rsidR="00E50CBF" w:rsidRPr="007D6F8D" w:rsidRDefault="00E50CBF" w:rsidP="007D6F8D">
      <w:pPr>
        <w:pStyle w:val="Heading3"/>
        <w:ind w:left="0" w:right="448"/>
        <w:rPr>
          <w:rFonts w:ascii="Cambria" w:hAnsi="Cambria"/>
        </w:rPr>
      </w:pPr>
    </w:p>
    <w:p w14:paraId="1BDA099F" w14:textId="456CE320" w:rsidR="007B40C4" w:rsidRDefault="003A3CB0" w:rsidP="007D6F8D">
      <w:pPr>
        <w:pStyle w:val="Heading3"/>
        <w:ind w:left="0" w:right="448"/>
        <w:rPr>
          <w:sz w:val="20"/>
          <w:szCs w:val="20"/>
        </w:rPr>
      </w:pPr>
      <w:r w:rsidRPr="003A3CB0">
        <w:rPr>
          <w:noProof/>
        </w:rPr>
        <w:drawing>
          <wp:inline distT="0" distB="0" distL="0" distR="0" wp14:anchorId="22F55C7E" wp14:editId="524F4091">
            <wp:extent cx="5341620" cy="32842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41620" cy="3284220"/>
                    </a:xfrm>
                    <a:prstGeom prst="rect">
                      <a:avLst/>
                    </a:prstGeom>
                    <a:noFill/>
                    <a:ln>
                      <a:noFill/>
                    </a:ln>
                  </pic:spPr>
                </pic:pic>
              </a:graphicData>
            </a:graphic>
          </wp:inline>
        </w:drawing>
      </w:r>
    </w:p>
    <w:p w14:paraId="534B8531" w14:textId="77777777" w:rsidR="003A3CB0" w:rsidRDefault="003A3CB0" w:rsidP="0017736A">
      <w:pPr>
        <w:pStyle w:val="Heading3"/>
        <w:ind w:left="0"/>
        <w:rPr>
          <w:rFonts w:asciiTheme="majorHAnsi" w:hAnsiTheme="majorHAnsi"/>
        </w:rPr>
      </w:pPr>
    </w:p>
    <w:p w14:paraId="16AFD0D0" w14:textId="625E416A" w:rsidR="007B40C4" w:rsidRDefault="007B40C4" w:rsidP="0017736A">
      <w:pPr>
        <w:pStyle w:val="Heading3"/>
        <w:ind w:left="0"/>
        <w:rPr>
          <w:rFonts w:asciiTheme="majorHAnsi" w:hAnsiTheme="majorHAnsi"/>
        </w:rPr>
      </w:pPr>
      <w:r w:rsidRPr="000905C0">
        <w:rPr>
          <w:rFonts w:asciiTheme="majorHAnsi" w:hAnsiTheme="majorHAnsi"/>
        </w:rPr>
        <w:t xml:space="preserve">This schedule is presented to illustrate the requirement to show information for 10 years. However, until a full 10-year trend is compiled, the </w:t>
      </w:r>
      <w:proofErr w:type="gramStart"/>
      <w:r w:rsidR="00D91186">
        <w:rPr>
          <w:rFonts w:asciiTheme="majorHAnsi" w:hAnsiTheme="majorHAnsi"/>
        </w:rPr>
        <w:t>City</w:t>
      </w:r>
      <w:proofErr w:type="gramEnd"/>
      <w:r w:rsidR="00D91186">
        <w:rPr>
          <w:rFonts w:asciiTheme="majorHAnsi" w:hAnsiTheme="majorHAnsi"/>
        </w:rPr>
        <w:t xml:space="preserve"> </w:t>
      </w:r>
      <w:r w:rsidRPr="000905C0">
        <w:rPr>
          <w:rFonts w:asciiTheme="majorHAnsi" w:hAnsiTheme="majorHAnsi"/>
        </w:rPr>
        <w:t xml:space="preserve">will present information for </w:t>
      </w:r>
      <w:r w:rsidR="00C52416">
        <w:rPr>
          <w:rFonts w:asciiTheme="majorHAnsi" w:hAnsiTheme="majorHAnsi"/>
        </w:rPr>
        <w:t>available</w:t>
      </w:r>
      <w:r w:rsidRPr="000905C0">
        <w:rPr>
          <w:rFonts w:asciiTheme="majorHAnsi" w:hAnsiTheme="majorHAnsi"/>
        </w:rPr>
        <w:t xml:space="preserve"> years.</w:t>
      </w:r>
    </w:p>
    <w:p w14:paraId="71EA69F1" w14:textId="77777777" w:rsidR="00336A0E" w:rsidRDefault="00336A0E" w:rsidP="0017736A">
      <w:pPr>
        <w:pStyle w:val="Heading3"/>
        <w:ind w:left="0"/>
        <w:rPr>
          <w:rFonts w:asciiTheme="majorHAnsi" w:hAnsiTheme="majorHAnsi"/>
        </w:rPr>
      </w:pPr>
    </w:p>
    <w:p w14:paraId="48EF2D19" w14:textId="77777777" w:rsidR="00336A0E" w:rsidRPr="00336A0E" w:rsidRDefault="00336A0E" w:rsidP="0017736A">
      <w:pPr>
        <w:pStyle w:val="Heading3"/>
        <w:ind w:left="0"/>
        <w:rPr>
          <w:rFonts w:asciiTheme="majorHAnsi" w:hAnsiTheme="majorHAnsi"/>
          <w:color w:val="17365D" w:themeColor="text2" w:themeShade="BF"/>
        </w:rPr>
      </w:pPr>
      <w:r>
        <w:rPr>
          <w:rFonts w:asciiTheme="majorHAnsi" w:hAnsiTheme="majorHAnsi"/>
          <w:color w:val="17365D" w:themeColor="text2" w:themeShade="BF"/>
        </w:rPr>
        <w:t>[The participating employer should include all available years’ i</w:t>
      </w:r>
      <w:r w:rsidR="003045BC">
        <w:rPr>
          <w:rFonts w:asciiTheme="majorHAnsi" w:hAnsiTheme="majorHAnsi"/>
          <w:color w:val="17365D" w:themeColor="text2" w:themeShade="BF"/>
        </w:rPr>
        <w:t>nformation. Only the current year is presented above.]</w:t>
      </w:r>
    </w:p>
    <w:p w14:paraId="1AA1FD50" w14:textId="77777777" w:rsidR="00E50CBF" w:rsidRDefault="00E50CBF" w:rsidP="007D6F8D">
      <w:pPr>
        <w:pStyle w:val="Heading3"/>
        <w:ind w:left="0" w:right="448"/>
        <w:rPr>
          <w:sz w:val="20"/>
          <w:szCs w:val="20"/>
        </w:rPr>
      </w:pPr>
    </w:p>
    <w:p w14:paraId="537FA8BF" w14:textId="77777777" w:rsidR="00F64523" w:rsidRDefault="00F64523" w:rsidP="007D6F8D">
      <w:pPr>
        <w:rPr>
          <w:sz w:val="20"/>
          <w:szCs w:val="20"/>
        </w:rPr>
      </w:pPr>
      <w:r>
        <w:rPr>
          <w:sz w:val="20"/>
          <w:szCs w:val="20"/>
        </w:rPr>
        <w:br w:type="page"/>
      </w:r>
    </w:p>
    <w:p w14:paraId="38BD26DC" w14:textId="77777777" w:rsidR="003A3CB0" w:rsidRPr="0017736A" w:rsidRDefault="003A3CB0" w:rsidP="003A3CB0">
      <w:pPr>
        <w:pStyle w:val="Heading4"/>
        <w:spacing w:before="94"/>
        <w:ind w:left="0" w:right="-90"/>
        <w:jc w:val="center"/>
        <w:rPr>
          <w:rFonts w:ascii="Cambria" w:hAnsi="Cambria"/>
          <w:sz w:val="22"/>
          <w:szCs w:val="22"/>
        </w:rPr>
      </w:pPr>
      <w:r>
        <w:rPr>
          <w:rFonts w:ascii="Cambria" w:hAnsi="Cambria"/>
          <w:sz w:val="22"/>
          <w:szCs w:val="22"/>
        </w:rPr>
        <w:lastRenderedPageBreak/>
        <w:t>City of Las Cruces</w:t>
      </w:r>
    </w:p>
    <w:p w14:paraId="4B2AF408" w14:textId="77777777" w:rsidR="0017736A" w:rsidRDefault="00F64523" w:rsidP="0017736A">
      <w:pPr>
        <w:ind w:right="-90"/>
        <w:jc w:val="center"/>
        <w:rPr>
          <w:rFonts w:ascii="Cambria" w:hAnsi="Cambria"/>
          <w:b/>
        </w:rPr>
      </w:pPr>
      <w:r w:rsidRPr="0017736A">
        <w:rPr>
          <w:rFonts w:ascii="Cambria" w:hAnsi="Cambria"/>
          <w:b/>
        </w:rPr>
        <w:t xml:space="preserve">Required Supplementary Information </w:t>
      </w:r>
    </w:p>
    <w:p w14:paraId="49E0A475" w14:textId="5C6DF346" w:rsidR="00F64523" w:rsidRPr="0017736A" w:rsidRDefault="003045BC" w:rsidP="0017736A">
      <w:pPr>
        <w:ind w:right="-90"/>
        <w:jc w:val="center"/>
        <w:rPr>
          <w:rFonts w:ascii="Cambria" w:hAnsi="Cambria"/>
        </w:rPr>
      </w:pPr>
      <w:r>
        <w:rPr>
          <w:rFonts w:ascii="Cambria" w:hAnsi="Cambria"/>
          <w:b/>
        </w:rPr>
        <w:t>for the Year Ended June 30, 202</w:t>
      </w:r>
      <w:r w:rsidR="00B32130">
        <w:rPr>
          <w:rFonts w:ascii="Cambria" w:hAnsi="Cambria"/>
          <w:b/>
        </w:rPr>
        <w:t>3</w:t>
      </w:r>
      <w:r w:rsidR="00F64523" w:rsidRPr="0017736A">
        <w:rPr>
          <w:rFonts w:ascii="Cambria" w:hAnsi="Cambria"/>
          <w:b/>
        </w:rPr>
        <w:t xml:space="preserve"> </w:t>
      </w:r>
    </w:p>
    <w:p w14:paraId="4A11F645" w14:textId="77777777" w:rsidR="00F64523" w:rsidRPr="0017736A" w:rsidRDefault="00F64523" w:rsidP="00CB11A2">
      <w:pPr>
        <w:pStyle w:val="Heading3"/>
        <w:ind w:left="0"/>
        <w:rPr>
          <w:rFonts w:ascii="Cambria" w:hAnsi="Cambria"/>
        </w:rPr>
      </w:pPr>
    </w:p>
    <w:p w14:paraId="2E217FC5" w14:textId="77777777" w:rsidR="00CB11A2" w:rsidRPr="0017736A" w:rsidRDefault="00CB11A2" w:rsidP="00CB11A2">
      <w:pPr>
        <w:pStyle w:val="Heading3"/>
        <w:ind w:left="0"/>
        <w:rPr>
          <w:rFonts w:ascii="Cambria" w:hAnsi="Cambria"/>
        </w:rPr>
      </w:pPr>
    </w:p>
    <w:p w14:paraId="562F8613" w14:textId="77777777" w:rsidR="00E50CBF" w:rsidRPr="0017736A" w:rsidRDefault="00E50CBF" w:rsidP="00CB11A2">
      <w:pPr>
        <w:pStyle w:val="Heading3"/>
        <w:ind w:left="0"/>
        <w:rPr>
          <w:rFonts w:ascii="Cambria" w:hAnsi="Cambria"/>
          <w:b/>
        </w:rPr>
      </w:pPr>
      <w:r w:rsidRPr="0017736A">
        <w:rPr>
          <w:rFonts w:ascii="Cambria" w:hAnsi="Cambria"/>
          <w:b/>
        </w:rPr>
        <w:t>SCHEDULE OF EMPLOYER'S CONTRIBUTIONS</w:t>
      </w:r>
    </w:p>
    <w:p w14:paraId="78377B1D" w14:textId="77777777" w:rsidR="00E50CBF" w:rsidRPr="0017736A" w:rsidRDefault="00E50CBF" w:rsidP="00CB11A2">
      <w:pPr>
        <w:pStyle w:val="Heading3"/>
        <w:ind w:left="0"/>
        <w:rPr>
          <w:rFonts w:ascii="Cambria" w:hAnsi="Cambria"/>
        </w:rPr>
      </w:pPr>
    </w:p>
    <w:p w14:paraId="037AFD2D" w14:textId="0460C7CA" w:rsidR="00E50CBF" w:rsidRDefault="003A3CB0" w:rsidP="00CB11A2">
      <w:pPr>
        <w:pStyle w:val="Heading3"/>
        <w:ind w:left="0"/>
        <w:rPr>
          <w:sz w:val="20"/>
          <w:szCs w:val="20"/>
        </w:rPr>
      </w:pPr>
      <w:r w:rsidRPr="003A3CB0">
        <w:rPr>
          <w:noProof/>
        </w:rPr>
        <w:drawing>
          <wp:inline distT="0" distB="0" distL="0" distR="0" wp14:anchorId="349DFD32" wp14:editId="27E48220">
            <wp:extent cx="5341620" cy="23926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41620" cy="2392680"/>
                    </a:xfrm>
                    <a:prstGeom prst="rect">
                      <a:avLst/>
                    </a:prstGeom>
                    <a:noFill/>
                    <a:ln>
                      <a:noFill/>
                    </a:ln>
                  </pic:spPr>
                </pic:pic>
              </a:graphicData>
            </a:graphic>
          </wp:inline>
        </w:drawing>
      </w:r>
    </w:p>
    <w:p w14:paraId="204F61B8" w14:textId="77777777" w:rsidR="00057E52" w:rsidRDefault="00057E52" w:rsidP="00CB11A2">
      <w:pPr>
        <w:pStyle w:val="Heading3"/>
        <w:ind w:left="0"/>
        <w:rPr>
          <w:sz w:val="20"/>
          <w:szCs w:val="20"/>
        </w:rPr>
      </w:pPr>
    </w:p>
    <w:p w14:paraId="2064966E" w14:textId="423EF079" w:rsidR="00655EB7" w:rsidRDefault="00655EB7" w:rsidP="00655EB7">
      <w:pPr>
        <w:pStyle w:val="Heading3"/>
        <w:ind w:left="0"/>
        <w:rPr>
          <w:rFonts w:asciiTheme="majorHAnsi" w:hAnsiTheme="majorHAnsi"/>
        </w:rPr>
      </w:pPr>
      <w:r w:rsidRPr="000905C0">
        <w:rPr>
          <w:rFonts w:asciiTheme="majorHAnsi" w:hAnsiTheme="majorHAnsi"/>
        </w:rPr>
        <w:t xml:space="preserve">*This schedule is presented to illustrate the requirement to show information for 10 years. However, until a full 10-year trend is compiled, the </w:t>
      </w:r>
      <w:proofErr w:type="gramStart"/>
      <w:r w:rsidR="00D91186">
        <w:rPr>
          <w:rFonts w:asciiTheme="majorHAnsi" w:hAnsiTheme="majorHAnsi"/>
        </w:rPr>
        <w:t>City</w:t>
      </w:r>
      <w:proofErr w:type="gramEnd"/>
      <w:r w:rsidRPr="000905C0">
        <w:rPr>
          <w:rFonts w:asciiTheme="majorHAnsi" w:hAnsiTheme="majorHAnsi"/>
        </w:rPr>
        <w:t xml:space="preserve"> will present information for </w:t>
      </w:r>
      <w:r>
        <w:rPr>
          <w:rFonts w:asciiTheme="majorHAnsi" w:hAnsiTheme="majorHAnsi"/>
        </w:rPr>
        <w:t>available</w:t>
      </w:r>
      <w:r w:rsidRPr="000905C0">
        <w:rPr>
          <w:rFonts w:asciiTheme="majorHAnsi" w:hAnsiTheme="majorHAnsi"/>
        </w:rPr>
        <w:t xml:space="preserve"> years.</w:t>
      </w:r>
    </w:p>
    <w:p w14:paraId="4DEBB17B" w14:textId="77777777" w:rsidR="003045BC" w:rsidRDefault="003045BC" w:rsidP="00655EB7">
      <w:pPr>
        <w:pStyle w:val="Heading3"/>
        <w:ind w:left="0"/>
        <w:rPr>
          <w:rFonts w:asciiTheme="majorHAnsi" w:hAnsiTheme="majorHAnsi"/>
        </w:rPr>
      </w:pPr>
    </w:p>
    <w:p w14:paraId="6604AC60" w14:textId="77777777" w:rsidR="003045BC" w:rsidRPr="00336A0E" w:rsidRDefault="003045BC" w:rsidP="003045BC">
      <w:pPr>
        <w:pStyle w:val="Heading3"/>
        <w:ind w:left="0"/>
        <w:rPr>
          <w:rFonts w:asciiTheme="majorHAnsi" w:hAnsiTheme="majorHAnsi"/>
          <w:color w:val="17365D" w:themeColor="text2" w:themeShade="BF"/>
        </w:rPr>
      </w:pPr>
      <w:r>
        <w:rPr>
          <w:rFonts w:asciiTheme="majorHAnsi" w:hAnsiTheme="majorHAnsi"/>
          <w:color w:val="17365D" w:themeColor="text2" w:themeShade="BF"/>
        </w:rPr>
        <w:t>[The participating employer should include all available years’ information. Only the current year is presented above.]</w:t>
      </w:r>
    </w:p>
    <w:p w14:paraId="5C55BFE8" w14:textId="77777777" w:rsidR="003045BC" w:rsidRDefault="003045BC" w:rsidP="00655EB7">
      <w:pPr>
        <w:pStyle w:val="Heading3"/>
        <w:ind w:left="0"/>
        <w:rPr>
          <w:rFonts w:asciiTheme="majorHAnsi" w:hAnsiTheme="majorHAnsi"/>
        </w:rPr>
      </w:pPr>
    </w:p>
    <w:p w14:paraId="60B009BC" w14:textId="77777777" w:rsidR="003045BC" w:rsidRDefault="003045BC">
      <w:pPr>
        <w:rPr>
          <w:rFonts w:asciiTheme="majorHAnsi" w:hAnsiTheme="majorHAnsi"/>
        </w:rPr>
      </w:pPr>
      <w:r>
        <w:rPr>
          <w:rFonts w:asciiTheme="majorHAnsi" w:hAnsiTheme="majorHAnsi"/>
        </w:rPr>
        <w:br w:type="page"/>
      </w:r>
    </w:p>
    <w:p w14:paraId="7F8358D6" w14:textId="343FC9E4" w:rsidR="00D91186" w:rsidRPr="0017736A" w:rsidRDefault="00D91186" w:rsidP="00D91186">
      <w:pPr>
        <w:pStyle w:val="Heading4"/>
        <w:spacing w:before="94"/>
        <w:ind w:left="0" w:right="-90"/>
        <w:jc w:val="center"/>
        <w:rPr>
          <w:rFonts w:ascii="Cambria" w:hAnsi="Cambria"/>
          <w:sz w:val="22"/>
          <w:szCs w:val="22"/>
        </w:rPr>
      </w:pPr>
      <w:r>
        <w:rPr>
          <w:rFonts w:ascii="Cambria" w:hAnsi="Cambria"/>
          <w:sz w:val="22"/>
          <w:szCs w:val="22"/>
        </w:rPr>
        <w:lastRenderedPageBreak/>
        <w:t>City of Las Cruces</w:t>
      </w:r>
    </w:p>
    <w:p w14:paraId="2B9BE2A4" w14:textId="77777777" w:rsidR="003045BC" w:rsidRDefault="003045BC" w:rsidP="003045BC">
      <w:pPr>
        <w:ind w:right="-90"/>
        <w:jc w:val="center"/>
        <w:rPr>
          <w:rFonts w:ascii="Cambria" w:hAnsi="Cambria"/>
          <w:b/>
        </w:rPr>
      </w:pPr>
      <w:r>
        <w:rPr>
          <w:rFonts w:ascii="Cambria" w:hAnsi="Cambria"/>
          <w:b/>
        </w:rPr>
        <w:t xml:space="preserve">Notes to </w:t>
      </w:r>
      <w:r w:rsidRPr="0017736A">
        <w:rPr>
          <w:rFonts w:ascii="Cambria" w:hAnsi="Cambria"/>
          <w:b/>
        </w:rPr>
        <w:t xml:space="preserve">Required Supplementary Information </w:t>
      </w:r>
    </w:p>
    <w:p w14:paraId="16528087" w14:textId="1AC471B6" w:rsidR="003045BC" w:rsidRDefault="003045BC" w:rsidP="003045BC">
      <w:pPr>
        <w:ind w:right="-90"/>
        <w:jc w:val="center"/>
        <w:rPr>
          <w:rFonts w:ascii="Cambria" w:hAnsi="Cambria"/>
          <w:b/>
        </w:rPr>
      </w:pPr>
      <w:r>
        <w:rPr>
          <w:rFonts w:ascii="Cambria" w:hAnsi="Cambria"/>
          <w:b/>
        </w:rPr>
        <w:t>for the Year Ended June 30, 202</w:t>
      </w:r>
      <w:r w:rsidR="00D91186">
        <w:rPr>
          <w:rFonts w:ascii="Cambria" w:hAnsi="Cambria"/>
          <w:b/>
        </w:rPr>
        <w:t>4</w:t>
      </w:r>
    </w:p>
    <w:p w14:paraId="76197170" w14:textId="77777777" w:rsidR="003045BC" w:rsidRDefault="003045BC" w:rsidP="003045BC">
      <w:pPr>
        <w:ind w:right="-90"/>
        <w:jc w:val="center"/>
        <w:rPr>
          <w:rFonts w:ascii="Cambria" w:hAnsi="Cambria"/>
          <w:b/>
        </w:rPr>
      </w:pPr>
    </w:p>
    <w:p w14:paraId="4921D0F2" w14:textId="77777777" w:rsidR="003045BC" w:rsidRDefault="003045BC" w:rsidP="003045BC">
      <w:pPr>
        <w:ind w:right="-90"/>
        <w:jc w:val="center"/>
        <w:rPr>
          <w:rFonts w:ascii="Cambria" w:hAnsi="Cambria"/>
          <w:b/>
        </w:rPr>
      </w:pPr>
    </w:p>
    <w:p w14:paraId="3159A61D" w14:textId="005E5576" w:rsidR="007B40C4" w:rsidRDefault="006E1983" w:rsidP="00CB11A2">
      <w:pPr>
        <w:pStyle w:val="Heading3"/>
        <w:ind w:left="0"/>
        <w:rPr>
          <w:sz w:val="20"/>
          <w:szCs w:val="20"/>
        </w:rPr>
      </w:pPr>
      <w:r>
        <w:rPr>
          <w:rFonts w:ascii="Cambria" w:hAnsi="Cambria"/>
        </w:rPr>
        <w:t xml:space="preserve">In </w:t>
      </w:r>
      <w:r w:rsidR="00A43EB1">
        <w:rPr>
          <w:rFonts w:ascii="Cambria" w:hAnsi="Cambria"/>
        </w:rPr>
        <w:t>the total OPEB liability measured as of June 30, 202</w:t>
      </w:r>
      <w:r w:rsidR="00445DD4">
        <w:rPr>
          <w:rFonts w:ascii="Cambria" w:hAnsi="Cambria"/>
        </w:rPr>
        <w:t>3</w:t>
      </w:r>
      <w:r>
        <w:rPr>
          <w:rFonts w:ascii="Cambria" w:hAnsi="Cambria"/>
        </w:rPr>
        <w:t>, c</w:t>
      </w:r>
      <w:r w:rsidR="003045BC" w:rsidRPr="006E1983">
        <w:rPr>
          <w:rFonts w:ascii="Cambria" w:hAnsi="Cambria"/>
        </w:rPr>
        <w:t>hanges in assumptions in</w:t>
      </w:r>
      <w:r w:rsidRPr="006E1983">
        <w:rPr>
          <w:rFonts w:ascii="Cambria" w:hAnsi="Cambria"/>
        </w:rPr>
        <w:t xml:space="preserve">clude adjustments resulting from </w:t>
      </w:r>
      <w:r w:rsidR="003045BC" w:rsidRPr="006E1983">
        <w:rPr>
          <w:rFonts w:ascii="Cambria" w:hAnsi="Cambria"/>
        </w:rPr>
        <w:t xml:space="preserve">a </w:t>
      </w:r>
      <w:r w:rsidR="003A3CB0">
        <w:rPr>
          <w:rFonts w:ascii="Cambria" w:hAnsi="Cambria"/>
        </w:rPr>
        <w:t>decrease</w:t>
      </w:r>
      <w:r w:rsidR="003045BC" w:rsidRPr="006E1983">
        <w:rPr>
          <w:rFonts w:ascii="Cambria" w:hAnsi="Cambria"/>
        </w:rPr>
        <w:t xml:space="preserve"> in the discount rate from </w:t>
      </w:r>
      <w:r w:rsidR="00D91186" w:rsidRPr="00D91186">
        <w:rPr>
          <w:rFonts w:ascii="Cambria" w:hAnsi="Cambria"/>
        </w:rPr>
        <w:t>5.42</w:t>
      </w:r>
      <w:r w:rsidR="003045BC" w:rsidRPr="00D91186">
        <w:rPr>
          <w:rFonts w:ascii="Cambria" w:hAnsi="Cambria"/>
        </w:rPr>
        <w:t xml:space="preserve">% to </w:t>
      </w:r>
      <w:r w:rsidR="00D91186" w:rsidRPr="00D91186">
        <w:rPr>
          <w:rFonts w:ascii="Cambria" w:hAnsi="Cambria"/>
        </w:rPr>
        <w:t>6.22</w:t>
      </w:r>
      <w:r w:rsidR="003045BC" w:rsidRPr="00D91186">
        <w:rPr>
          <w:rFonts w:ascii="Cambria" w:hAnsi="Cambria"/>
        </w:rPr>
        <w:t>%</w:t>
      </w:r>
      <w:r w:rsidR="00A43EB1" w:rsidRPr="00D91186">
        <w:rPr>
          <w:rFonts w:ascii="Cambria" w:hAnsi="Cambria"/>
        </w:rPr>
        <w:t>.</w:t>
      </w:r>
      <w:r w:rsidR="00057E52">
        <w:rPr>
          <w:sz w:val="20"/>
          <w:szCs w:val="20"/>
        </w:rPr>
        <w:t xml:space="preserve"> </w:t>
      </w:r>
    </w:p>
    <w:p w14:paraId="574663FA" w14:textId="77777777" w:rsidR="00655EB7" w:rsidRDefault="00655EB7" w:rsidP="00C749A3">
      <w:pPr>
        <w:jc w:val="center"/>
        <w:rPr>
          <w:rFonts w:ascii="Cambria" w:hAnsi="Cambria"/>
          <w:b/>
        </w:rPr>
      </w:pPr>
    </w:p>
    <w:p w14:paraId="42764590" w14:textId="77777777" w:rsidR="00226AE3" w:rsidRPr="00226AE3" w:rsidRDefault="00226AE3" w:rsidP="00CB11A2">
      <w:pPr>
        <w:pStyle w:val="Heading3"/>
        <w:spacing w:line="276" w:lineRule="auto"/>
        <w:ind w:left="0"/>
        <w:rPr>
          <w:rFonts w:ascii="Cambria" w:hAnsi="Cambria"/>
        </w:rPr>
      </w:pPr>
    </w:p>
    <w:p w14:paraId="4E5773B0" w14:textId="77777777" w:rsidR="00226AE3" w:rsidRPr="00226AE3" w:rsidRDefault="00226AE3" w:rsidP="00CB11A2">
      <w:pPr>
        <w:pStyle w:val="Heading3"/>
        <w:spacing w:line="276" w:lineRule="auto"/>
        <w:ind w:left="0"/>
        <w:rPr>
          <w:rFonts w:ascii="Cambria" w:hAnsi="Cambria"/>
        </w:rPr>
      </w:pPr>
    </w:p>
    <w:p w14:paraId="0BFE00A1" w14:textId="77777777" w:rsidR="00BE487F" w:rsidRPr="00226AE3" w:rsidRDefault="00BE487F" w:rsidP="00CB11A2">
      <w:pPr>
        <w:pStyle w:val="Heading3"/>
        <w:ind w:left="0"/>
        <w:rPr>
          <w:rFonts w:ascii="Cambria" w:hAnsi="Cambria"/>
        </w:rPr>
      </w:pPr>
    </w:p>
    <w:p w14:paraId="2A6AE43A" w14:textId="77777777" w:rsidR="00A739ED" w:rsidRPr="00226AE3" w:rsidRDefault="00A739ED" w:rsidP="006E1AD5">
      <w:pPr>
        <w:pStyle w:val="Heading2"/>
        <w:spacing w:line="264" w:lineRule="exact"/>
        <w:ind w:left="0" w:right="437"/>
        <w:jc w:val="right"/>
        <w:rPr>
          <w:rFonts w:ascii="Cambria" w:hAnsi="Cambria"/>
          <w:sz w:val="22"/>
          <w:szCs w:val="22"/>
        </w:rPr>
      </w:pPr>
    </w:p>
    <w:sectPr w:rsidR="00A739ED" w:rsidRPr="00226AE3" w:rsidSect="00B753A6">
      <w:footerReference w:type="default" r:id="rId30"/>
      <w:pgSz w:w="12240" w:h="15840" w:code="1"/>
      <w:pgMar w:top="720" w:right="1440" w:bottom="72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AE49" w14:textId="77777777" w:rsidR="00023ABD" w:rsidRDefault="00023ABD">
      <w:r>
        <w:separator/>
      </w:r>
    </w:p>
  </w:endnote>
  <w:endnote w:type="continuationSeparator" w:id="0">
    <w:p w14:paraId="39DF8244" w14:textId="77777777" w:rsidR="00023ABD" w:rsidRDefault="0002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1C53" w14:textId="77777777" w:rsidR="00AF69D7" w:rsidRDefault="00AF6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037A" w14:textId="77777777" w:rsidR="00AF69D7" w:rsidRDefault="00AF6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2EB5" w14:textId="77777777" w:rsidR="00AF69D7" w:rsidRDefault="00AF69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331D" w14:textId="77777777" w:rsidR="00742E33" w:rsidRPr="00B069BA" w:rsidRDefault="00060382" w:rsidP="009A46C6">
    <w:pPr>
      <w:pStyle w:val="Footer"/>
      <w:ind w:right="1200"/>
      <w:jc w:val="center"/>
      <w:rPr>
        <w:rFonts w:ascii="Cambria" w:hAnsi="Cambria"/>
        <w:sz w:val="20"/>
        <w:szCs w:val="20"/>
      </w:rPr>
    </w:pPr>
    <w:r w:rsidRPr="00B069BA">
      <w:rPr>
        <w:rFonts w:ascii="Cambria" w:hAnsi="Cambria"/>
        <w:sz w:val="20"/>
        <w:szCs w:val="20"/>
      </w:rPr>
      <w:fldChar w:fldCharType="begin"/>
    </w:r>
    <w:r w:rsidRPr="00B069BA">
      <w:rPr>
        <w:rFonts w:ascii="Cambria" w:hAnsi="Cambria"/>
        <w:sz w:val="20"/>
        <w:szCs w:val="20"/>
      </w:rPr>
      <w:instrText xml:space="preserve"> PAGE   \* MERGEFORMAT </w:instrText>
    </w:r>
    <w:r w:rsidRPr="00B069BA">
      <w:rPr>
        <w:rFonts w:ascii="Cambria" w:hAnsi="Cambria"/>
        <w:sz w:val="20"/>
        <w:szCs w:val="20"/>
      </w:rPr>
      <w:fldChar w:fldCharType="separate"/>
    </w:r>
    <w:r w:rsidR="004268D5">
      <w:rPr>
        <w:rFonts w:ascii="Cambria" w:hAnsi="Cambria"/>
        <w:noProof/>
        <w:sz w:val="20"/>
        <w:szCs w:val="20"/>
      </w:rPr>
      <w:t>2</w:t>
    </w:r>
    <w:r w:rsidRPr="00B069BA">
      <w:rPr>
        <w:rFonts w:ascii="Cambria" w:hAnsi="Cambria"/>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E727" w14:textId="77777777" w:rsidR="00B069BA" w:rsidRPr="00B069BA" w:rsidRDefault="00B069BA" w:rsidP="00B069BA">
    <w:pPr>
      <w:pStyle w:val="Footer"/>
      <w:jc w:val="center"/>
      <w:rPr>
        <w:rFonts w:ascii="Cambria" w:hAnsi="Cambria"/>
        <w:sz w:val="20"/>
        <w:szCs w:val="20"/>
      </w:rPr>
    </w:pPr>
    <w:r w:rsidRPr="00B069BA">
      <w:rPr>
        <w:rFonts w:ascii="Cambria" w:hAnsi="Cambria"/>
        <w:sz w:val="20"/>
        <w:szCs w:val="20"/>
      </w:rPr>
      <w:fldChar w:fldCharType="begin"/>
    </w:r>
    <w:r w:rsidRPr="00B069BA">
      <w:rPr>
        <w:rFonts w:ascii="Cambria" w:hAnsi="Cambria"/>
        <w:sz w:val="20"/>
        <w:szCs w:val="20"/>
      </w:rPr>
      <w:instrText xml:space="preserve"> PAGE   \* MERGEFORMAT </w:instrText>
    </w:r>
    <w:r w:rsidRPr="00B069BA">
      <w:rPr>
        <w:rFonts w:ascii="Cambria" w:hAnsi="Cambria"/>
        <w:sz w:val="20"/>
        <w:szCs w:val="20"/>
      </w:rPr>
      <w:fldChar w:fldCharType="separate"/>
    </w:r>
    <w:r w:rsidR="004268D5">
      <w:rPr>
        <w:rFonts w:ascii="Cambria" w:hAnsi="Cambria"/>
        <w:noProof/>
        <w:sz w:val="20"/>
        <w:szCs w:val="20"/>
      </w:rPr>
      <w:t>6</w:t>
    </w:r>
    <w:r w:rsidRPr="00B069BA">
      <w:rPr>
        <w:rFonts w:ascii="Cambria" w:hAnsi="Cambria"/>
        <w:noProof/>
        <w:sz w:val="20"/>
        <w:szCs w:val="20"/>
      </w:rPr>
      <w:fldChar w:fldCharType="end"/>
    </w:r>
  </w:p>
  <w:p w14:paraId="285174EC" w14:textId="77777777" w:rsidR="00742E33" w:rsidRDefault="00742E33">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01F0" w14:textId="77777777" w:rsidR="00742E33" w:rsidRPr="00E046F1" w:rsidRDefault="00E046F1" w:rsidP="00E046F1">
    <w:pPr>
      <w:pStyle w:val="Footer"/>
      <w:jc w:val="center"/>
      <w:rPr>
        <w:rFonts w:ascii="Cambria" w:hAnsi="Cambria"/>
        <w:sz w:val="20"/>
        <w:szCs w:val="20"/>
      </w:rPr>
    </w:pPr>
    <w:r w:rsidRPr="00E046F1">
      <w:rPr>
        <w:rFonts w:ascii="Cambria" w:hAnsi="Cambria"/>
        <w:sz w:val="20"/>
        <w:szCs w:val="20"/>
      </w:rPr>
      <w:fldChar w:fldCharType="begin"/>
    </w:r>
    <w:r w:rsidRPr="00E046F1">
      <w:rPr>
        <w:rFonts w:ascii="Cambria" w:hAnsi="Cambria"/>
        <w:sz w:val="20"/>
        <w:szCs w:val="20"/>
      </w:rPr>
      <w:instrText xml:space="preserve"> PAGE   \* MERGEFORMAT </w:instrText>
    </w:r>
    <w:r w:rsidRPr="00E046F1">
      <w:rPr>
        <w:rFonts w:ascii="Cambria" w:hAnsi="Cambria"/>
        <w:sz w:val="20"/>
        <w:szCs w:val="20"/>
      </w:rPr>
      <w:fldChar w:fldCharType="separate"/>
    </w:r>
    <w:r w:rsidR="004268D5">
      <w:rPr>
        <w:rFonts w:ascii="Cambria" w:hAnsi="Cambria"/>
        <w:noProof/>
        <w:sz w:val="20"/>
        <w:szCs w:val="20"/>
      </w:rPr>
      <w:t>12</w:t>
    </w:r>
    <w:r w:rsidRPr="00E046F1">
      <w:rPr>
        <w:rFonts w:ascii="Cambria" w:hAnsi="Cambr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2589" w14:textId="77777777" w:rsidR="00023ABD" w:rsidRDefault="00023ABD">
      <w:r>
        <w:separator/>
      </w:r>
    </w:p>
  </w:footnote>
  <w:footnote w:type="continuationSeparator" w:id="0">
    <w:p w14:paraId="57E155E5" w14:textId="77777777" w:rsidR="00023ABD" w:rsidRDefault="0002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8354" w14:textId="77777777" w:rsidR="00AF69D7" w:rsidRDefault="00AF6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CBE4" w14:textId="77777777" w:rsidR="00AF69D7" w:rsidRDefault="00AF69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A461" w14:textId="77777777" w:rsidR="00AF69D7" w:rsidRDefault="00AF69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7CD1" w14:textId="77777777" w:rsidR="00060382" w:rsidRDefault="00060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6C8"/>
    <w:multiLevelType w:val="multilevel"/>
    <w:tmpl w:val="38B01CE0"/>
    <w:lvl w:ilvl="0">
      <w:start w:val="3"/>
      <w:numFmt w:val="decimal"/>
      <w:lvlText w:val="%1"/>
      <w:lvlJc w:val="left"/>
      <w:pPr>
        <w:ind w:left="248" w:hanging="280"/>
      </w:pPr>
      <w:rPr>
        <w:rFonts w:hint="default"/>
      </w:rPr>
    </w:lvl>
    <w:lvl w:ilvl="1">
      <w:start w:val="5"/>
      <w:numFmt w:val="decimal"/>
      <w:lvlText w:val="%1.%2"/>
      <w:lvlJc w:val="left"/>
      <w:pPr>
        <w:ind w:left="248" w:hanging="280"/>
      </w:pPr>
      <w:rPr>
        <w:rFonts w:ascii="Arial" w:eastAsia="Arial" w:hAnsi="Arial" w:cs="Arial" w:hint="default"/>
        <w:spacing w:val="-2"/>
        <w:w w:val="100"/>
        <w:sz w:val="20"/>
        <w:szCs w:val="20"/>
      </w:rPr>
    </w:lvl>
    <w:lvl w:ilvl="2">
      <w:start w:val="1"/>
      <w:numFmt w:val="upperLetter"/>
      <w:lvlText w:val="[%3]"/>
      <w:lvlJc w:val="left"/>
      <w:pPr>
        <w:ind w:left="2598" w:hanging="240"/>
      </w:pPr>
      <w:rPr>
        <w:rFonts w:hint="default"/>
        <w:w w:val="99"/>
        <w:highlight w:val="yellow"/>
      </w:rPr>
    </w:lvl>
    <w:lvl w:ilvl="3">
      <w:numFmt w:val="bullet"/>
      <w:lvlText w:val="•"/>
      <w:lvlJc w:val="left"/>
      <w:pPr>
        <w:ind w:left="2758" w:hanging="240"/>
      </w:pPr>
      <w:rPr>
        <w:rFonts w:hint="default"/>
      </w:rPr>
    </w:lvl>
    <w:lvl w:ilvl="4">
      <w:numFmt w:val="bullet"/>
      <w:lvlText w:val="•"/>
      <w:lvlJc w:val="left"/>
      <w:pPr>
        <w:ind w:left="2838" w:hanging="240"/>
      </w:pPr>
      <w:rPr>
        <w:rFonts w:hint="default"/>
      </w:rPr>
    </w:lvl>
    <w:lvl w:ilvl="5">
      <w:numFmt w:val="bullet"/>
      <w:lvlText w:val="•"/>
      <w:lvlJc w:val="left"/>
      <w:pPr>
        <w:ind w:left="2917" w:hanging="240"/>
      </w:pPr>
      <w:rPr>
        <w:rFonts w:hint="default"/>
      </w:rPr>
    </w:lvl>
    <w:lvl w:ilvl="6">
      <w:numFmt w:val="bullet"/>
      <w:lvlText w:val="•"/>
      <w:lvlJc w:val="left"/>
      <w:pPr>
        <w:ind w:left="2996" w:hanging="240"/>
      </w:pPr>
      <w:rPr>
        <w:rFonts w:hint="default"/>
      </w:rPr>
    </w:lvl>
    <w:lvl w:ilvl="7">
      <w:numFmt w:val="bullet"/>
      <w:lvlText w:val="•"/>
      <w:lvlJc w:val="left"/>
      <w:pPr>
        <w:ind w:left="3076" w:hanging="240"/>
      </w:pPr>
      <w:rPr>
        <w:rFonts w:hint="default"/>
      </w:rPr>
    </w:lvl>
    <w:lvl w:ilvl="8">
      <w:numFmt w:val="bullet"/>
      <w:lvlText w:val="•"/>
      <w:lvlJc w:val="left"/>
      <w:pPr>
        <w:ind w:left="3155" w:hanging="240"/>
      </w:pPr>
      <w:rPr>
        <w:rFonts w:hint="default"/>
      </w:rPr>
    </w:lvl>
  </w:abstractNum>
  <w:abstractNum w:abstractNumId="1" w15:restartNumberingAfterBreak="0">
    <w:nsid w:val="183438C6"/>
    <w:multiLevelType w:val="hybridMultilevel"/>
    <w:tmpl w:val="9538017E"/>
    <w:lvl w:ilvl="0" w:tplc="A6628818">
      <w:numFmt w:val="bullet"/>
      <w:lvlText w:val=""/>
      <w:lvlJc w:val="left"/>
      <w:pPr>
        <w:ind w:left="2480" w:hanging="361"/>
      </w:pPr>
      <w:rPr>
        <w:rFonts w:ascii="Symbol" w:eastAsia="Symbol" w:hAnsi="Symbol" w:cs="Symbol" w:hint="default"/>
        <w:w w:val="100"/>
        <w:sz w:val="20"/>
        <w:szCs w:val="20"/>
      </w:rPr>
    </w:lvl>
    <w:lvl w:ilvl="1" w:tplc="89D41D3E">
      <w:numFmt w:val="bullet"/>
      <w:lvlText w:val=""/>
      <w:lvlJc w:val="left"/>
      <w:pPr>
        <w:ind w:left="2659" w:hanging="360"/>
      </w:pPr>
      <w:rPr>
        <w:rFonts w:ascii="Symbol" w:eastAsia="Symbol" w:hAnsi="Symbol" w:cs="Symbol" w:hint="default"/>
        <w:color w:val="365F91"/>
        <w:w w:val="100"/>
        <w:sz w:val="20"/>
        <w:szCs w:val="20"/>
      </w:rPr>
    </w:lvl>
    <w:lvl w:ilvl="2" w:tplc="2B9687F4">
      <w:numFmt w:val="bullet"/>
      <w:lvlText w:val="•"/>
      <w:lvlJc w:val="left"/>
      <w:pPr>
        <w:ind w:left="3388" w:hanging="360"/>
      </w:pPr>
      <w:rPr>
        <w:rFonts w:hint="default"/>
      </w:rPr>
    </w:lvl>
    <w:lvl w:ilvl="3" w:tplc="10863730">
      <w:numFmt w:val="bullet"/>
      <w:lvlText w:val="•"/>
      <w:lvlJc w:val="left"/>
      <w:pPr>
        <w:ind w:left="4117" w:hanging="360"/>
      </w:pPr>
      <w:rPr>
        <w:rFonts w:hint="default"/>
      </w:rPr>
    </w:lvl>
    <w:lvl w:ilvl="4" w:tplc="AF480000">
      <w:numFmt w:val="bullet"/>
      <w:lvlText w:val="•"/>
      <w:lvlJc w:val="left"/>
      <w:pPr>
        <w:ind w:left="4846" w:hanging="360"/>
      </w:pPr>
      <w:rPr>
        <w:rFonts w:hint="default"/>
      </w:rPr>
    </w:lvl>
    <w:lvl w:ilvl="5" w:tplc="63563420">
      <w:numFmt w:val="bullet"/>
      <w:lvlText w:val="•"/>
      <w:lvlJc w:val="left"/>
      <w:pPr>
        <w:ind w:left="5575" w:hanging="360"/>
      </w:pPr>
      <w:rPr>
        <w:rFonts w:hint="default"/>
      </w:rPr>
    </w:lvl>
    <w:lvl w:ilvl="6" w:tplc="2C4E1D8A">
      <w:numFmt w:val="bullet"/>
      <w:lvlText w:val="•"/>
      <w:lvlJc w:val="left"/>
      <w:pPr>
        <w:ind w:left="6304" w:hanging="360"/>
      </w:pPr>
      <w:rPr>
        <w:rFonts w:hint="default"/>
      </w:rPr>
    </w:lvl>
    <w:lvl w:ilvl="7" w:tplc="BB38E5CC">
      <w:numFmt w:val="bullet"/>
      <w:lvlText w:val="•"/>
      <w:lvlJc w:val="left"/>
      <w:pPr>
        <w:ind w:left="7033" w:hanging="360"/>
      </w:pPr>
      <w:rPr>
        <w:rFonts w:hint="default"/>
      </w:rPr>
    </w:lvl>
    <w:lvl w:ilvl="8" w:tplc="816200C2">
      <w:numFmt w:val="bullet"/>
      <w:lvlText w:val="•"/>
      <w:lvlJc w:val="left"/>
      <w:pPr>
        <w:ind w:left="7762" w:hanging="360"/>
      </w:pPr>
      <w:rPr>
        <w:rFonts w:hint="default"/>
      </w:rPr>
    </w:lvl>
  </w:abstractNum>
  <w:abstractNum w:abstractNumId="2" w15:restartNumberingAfterBreak="0">
    <w:nsid w:val="4A655248"/>
    <w:multiLevelType w:val="hybridMultilevel"/>
    <w:tmpl w:val="A1E67556"/>
    <w:lvl w:ilvl="0" w:tplc="F35A5F28">
      <w:numFmt w:val="bullet"/>
      <w:lvlText w:val=""/>
      <w:lvlJc w:val="left"/>
      <w:pPr>
        <w:ind w:left="860" w:hanging="360"/>
      </w:pPr>
      <w:rPr>
        <w:rFonts w:ascii="Symbol" w:eastAsia="Symbol" w:hAnsi="Symbol" w:cs="Symbol" w:hint="default"/>
        <w:w w:val="100"/>
        <w:sz w:val="24"/>
        <w:szCs w:val="24"/>
      </w:rPr>
    </w:lvl>
    <w:lvl w:ilvl="1" w:tplc="1328547A">
      <w:numFmt w:val="bullet"/>
      <w:lvlText w:val=""/>
      <w:lvlJc w:val="left"/>
      <w:pPr>
        <w:ind w:left="2660" w:hanging="361"/>
      </w:pPr>
      <w:rPr>
        <w:rFonts w:ascii="Symbol" w:eastAsia="Symbol" w:hAnsi="Symbol" w:cs="Symbol" w:hint="default"/>
        <w:w w:val="100"/>
        <w:sz w:val="20"/>
        <w:szCs w:val="20"/>
      </w:rPr>
    </w:lvl>
    <w:lvl w:ilvl="2" w:tplc="52E46B0A">
      <w:numFmt w:val="bullet"/>
      <w:lvlText w:val="•"/>
      <w:lvlJc w:val="left"/>
      <w:pPr>
        <w:ind w:left="3388" w:hanging="361"/>
      </w:pPr>
      <w:rPr>
        <w:rFonts w:hint="default"/>
      </w:rPr>
    </w:lvl>
    <w:lvl w:ilvl="3" w:tplc="DB38A6D8">
      <w:numFmt w:val="bullet"/>
      <w:lvlText w:val="•"/>
      <w:lvlJc w:val="left"/>
      <w:pPr>
        <w:ind w:left="4117" w:hanging="361"/>
      </w:pPr>
      <w:rPr>
        <w:rFonts w:hint="default"/>
      </w:rPr>
    </w:lvl>
    <w:lvl w:ilvl="4" w:tplc="37E48B50">
      <w:numFmt w:val="bullet"/>
      <w:lvlText w:val="•"/>
      <w:lvlJc w:val="left"/>
      <w:pPr>
        <w:ind w:left="4846" w:hanging="361"/>
      </w:pPr>
      <w:rPr>
        <w:rFonts w:hint="default"/>
      </w:rPr>
    </w:lvl>
    <w:lvl w:ilvl="5" w:tplc="FB325138">
      <w:numFmt w:val="bullet"/>
      <w:lvlText w:val="•"/>
      <w:lvlJc w:val="left"/>
      <w:pPr>
        <w:ind w:left="5575" w:hanging="361"/>
      </w:pPr>
      <w:rPr>
        <w:rFonts w:hint="default"/>
      </w:rPr>
    </w:lvl>
    <w:lvl w:ilvl="6" w:tplc="6A084050">
      <w:numFmt w:val="bullet"/>
      <w:lvlText w:val="•"/>
      <w:lvlJc w:val="left"/>
      <w:pPr>
        <w:ind w:left="6304" w:hanging="361"/>
      </w:pPr>
      <w:rPr>
        <w:rFonts w:hint="default"/>
      </w:rPr>
    </w:lvl>
    <w:lvl w:ilvl="7" w:tplc="B50E658C">
      <w:numFmt w:val="bullet"/>
      <w:lvlText w:val="•"/>
      <w:lvlJc w:val="left"/>
      <w:pPr>
        <w:ind w:left="7033" w:hanging="361"/>
      </w:pPr>
      <w:rPr>
        <w:rFonts w:hint="default"/>
      </w:rPr>
    </w:lvl>
    <w:lvl w:ilvl="8" w:tplc="26DC32BA">
      <w:numFmt w:val="bullet"/>
      <w:lvlText w:val="•"/>
      <w:lvlJc w:val="left"/>
      <w:pPr>
        <w:ind w:left="7762" w:hanging="361"/>
      </w:pPr>
      <w:rPr>
        <w:rFonts w:hint="default"/>
      </w:rPr>
    </w:lvl>
  </w:abstractNum>
  <w:num w:numId="1" w16cid:durableId="1591231619">
    <w:abstractNumId w:val="0"/>
  </w:num>
  <w:num w:numId="2" w16cid:durableId="2035155378">
    <w:abstractNumId w:val="1"/>
  </w:num>
  <w:num w:numId="3" w16cid:durableId="1734739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94"/>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739ED"/>
    <w:rsid w:val="00000556"/>
    <w:rsid w:val="00010917"/>
    <w:rsid w:val="0001721A"/>
    <w:rsid w:val="00023ABD"/>
    <w:rsid w:val="0002526F"/>
    <w:rsid w:val="00026669"/>
    <w:rsid w:val="00026B5F"/>
    <w:rsid w:val="00030051"/>
    <w:rsid w:val="00051670"/>
    <w:rsid w:val="00057E52"/>
    <w:rsid w:val="00060382"/>
    <w:rsid w:val="00076578"/>
    <w:rsid w:val="000905C0"/>
    <w:rsid w:val="000B7EDC"/>
    <w:rsid w:val="000D049C"/>
    <w:rsid w:val="000D42EE"/>
    <w:rsid w:val="000D5BEE"/>
    <w:rsid w:val="000D7509"/>
    <w:rsid w:val="000E6A13"/>
    <w:rsid w:val="000F7AEB"/>
    <w:rsid w:val="001310FA"/>
    <w:rsid w:val="0014199C"/>
    <w:rsid w:val="00145B6E"/>
    <w:rsid w:val="00156A5B"/>
    <w:rsid w:val="00166BCD"/>
    <w:rsid w:val="00174CCD"/>
    <w:rsid w:val="0017736A"/>
    <w:rsid w:val="0018081A"/>
    <w:rsid w:val="001B5157"/>
    <w:rsid w:val="001C417D"/>
    <w:rsid w:val="001E0E57"/>
    <w:rsid w:val="001E35B8"/>
    <w:rsid w:val="001F4307"/>
    <w:rsid w:val="002127BF"/>
    <w:rsid w:val="002130A3"/>
    <w:rsid w:val="0022081D"/>
    <w:rsid w:val="00226AE3"/>
    <w:rsid w:val="00236664"/>
    <w:rsid w:val="00244611"/>
    <w:rsid w:val="00251AB4"/>
    <w:rsid w:val="00266DCA"/>
    <w:rsid w:val="00266EEB"/>
    <w:rsid w:val="00274CD9"/>
    <w:rsid w:val="00284F36"/>
    <w:rsid w:val="002A4077"/>
    <w:rsid w:val="002A6D26"/>
    <w:rsid w:val="002B1EA2"/>
    <w:rsid w:val="002B2CF9"/>
    <w:rsid w:val="002B746A"/>
    <w:rsid w:val="002D01F9"/>
    <w:rsid w:val="002D38C8"/>
    <w:rsid w:val="0030393E"/>
    <w:rsid w:val="003045BC"/>
    <w:rsid w:val="00317E76"/>
    <w:rsid w:val="00333585"/>
    <w:rsid w:val="00336A0E"/>
    <w:rsid w:val="00350BBB"/>
    <w:rsid w:val="0035192D"/>
    <w:rsid w:val="003522E6"/>
    <w:rsid w:val="003A3CB0"/>
    <w:rsid w:val="003B2FB1"/>
    <w:rsid w:val="003D6C99"/>
    <w:rsid w:val="003F020C"/>
    <w:rsid w:val="00401014"/>
    <w:rsid w:val="00413049"/>
    <w:rsid w:val="0041680B"/>
    <w:rsid w:val="004217BB"/>
    <w:rsid w:val="00423A6C"/>
    <w:rsid w:val="004268D5"/>
    <w:rsid w:val="00445DD4"/>
    <w:rsid w:val="00446993"/>
    <w:rsid w:val="00455FA6"/>
    <w:rsid w:val="00471540"/>
    <w:rsid w:val="004728D3"/>
    <w:rsid w:val="004A33A9"/>
    <w:rsid w:val="004A3CF1"/>
    <w:rsid w:val="004B2D6E"/>
    <w:rsid w:val="004C08B0"/>
    <w:rsid w:val="004E0E73"/>
    <w:rsid w:val="004E5280"/>
    <w:rsid w:val="00502BDF"/>
    <w:rsid w:val="00511028"/>
    <w:rsid w:val="00533794"/>
    <w:rsid w:val="005470A7"/>
    <w:rsid w:val="00551954"/>
    <w:rsid w:val="005631A5"/>
    <w:rsid w:val="00573B4F"/>
    <w:rsid w:val="005A3BC4"/>
    <w:rsid w:val="005C160D"/>
    <w:rsid w:val="005C29E3"/>
    <w:rsid w:val="005C2EBE"/>
    <w:rsid w:val="005C6420"/>
    <w:rsid w:val="005D037A"/>
    <w:rsid w:val="005E382C"/>
    <w:rsid w:val="005E438A"/>
    <w:rsid w:val="005F0CFC"/>
    <w:rsid w:val="00606FAA"/>
    <w:rsid w:val="006431B6"/>
    <w:rsid w:val="006442E5"/>
    <w:rsid w:val="00652E89"/>
    <w:rsid w:val="00654859"/>
    <w:rsid w:val="00655EB7"/>
    <w:rsid w:val="00695653"/>
    <w:rsid w:val="00695A9D"/>
    <w:rsid w:val="00697084"/>
    <w:rsid w:val="006E056E"/>
    <w:rsid w:val="006E0A6E"/>
    <w:rsid w:val="006E1983"/>
    <w:rsid w:val="006E1AD5"/>
    <w:rsid w:val="006E546E"/>
    <w:rsid w:val="006F1DFB"/>
    <w:rsid w:val="0070567F"/>
    <w:rsid w:val="00705FFE"/>
    <w:rsid w:val="00706B6B"/>
    <w:rsid w:val="00711F27"/>
    <w:rsid w:val="00722DA5"/>
    <w:rsid w:val="007230E1"/>
    <w:rsid w:val="007258F7"/>
    <w:rsid w:val="00727E50"/>
    <w:rsid w:val="00731561"/>
    <w:rsid w:val="00742E33"/>
    <w:rsid w:val="00743415"/>
    <w:rsid w:val="007451F9"/>
    <w:rsid w:val="00750FF3"/>
    <w:rsid w:val="00755308"/>
    <w:rsid w:val="0077439C"/>
    <w:rsid w:val="0079651F"/>
    <w:rsid w:val="00797AF4"/>
    <w:rsid w:val="007A6236"/>
    <w:rsid w:val="007A7734"/>
    <w:rsid w:val="007B2894"/>
    <w:rsid w:val="007B40C4"/>
    <w:rsid w:val="007B4778"/>
    <w:rsid w:val="007B59F1"/>
    <w:rsid w:val="007C65E7"/>
    <w:rsid w:val="007D1B64"/>
    <w:rsid w:val="007D6F8D"/>
    <w:rsid w:val="007E523A"/>
    <w:rsid w:val="007F2955"/>
    <w:rsid w:val="007F7A78"/>
    <w:rsid w:val="008026D6"/>
    <w:rsid w:val="00810B86"/>
    <w:rsid w:val="00830F40"/>
    <w:rsid w:val="00832FEE"/>
    <w:rsid w:val="008441BE"/>
    <w:rsid w:val="00851BE9"/>
    <w:rsid w:val="00863D6C"/>
    <w:rsid w:val="008670E9"/>
    <w:rsid w:val="008763B1"/>
    <w:rsid w:val="00877ACE"/>
    <w:rsid w:val="00885438"/>
    <w:rsid w:val="00891BE0"/>
    <w:rsid w:val="008934BD"/>
    <w:rsid w:val="008A2026"/>
    <w:rsid w:val="008E6EDB"/>
    <w:rsid w:val="009035A1"/>
    <w:rsid w:val="00920DD5"/>
    <w:rsid w:val="00923989"/>
    <w:rsid w:val="0093061C"/>
    <w:rsid w:val="009368DC"/>
    <w:rsid w:val="00947E46"/>
    <w:rsid w:val="00974DB2"/>
    <w:rsid w:val="00976B80"/>
    <w:rsid w:val="00984DAB"/>
    <w:rsid w:val="009909D2"/>
    <w:rsid w:val="0099399D"/>
    <w:rsid w:val="009A46C6"/>
    <w:rsid w:val="009A5E02"/>
    <w:rsid w:val="009C09AF"/>
    <w:rsid w:val="009E279D"/>
    <w:rsid w:val="009F66E2"/>
    <w:rsid w:val="00A00CF2"/>
    <w:rsid w:val="00A05ED7"/>
    <w:rsid w:val="00A21B61"/>
    <w:rsid w:val="00A21FF9"/>
    <w:rsid w:val="00A22CFB"/>
    <w:rsid w:val="00A43EB1"/>
    <w:rsid w:val="00A44D3E"/>
    <w:rsid w:val="00A51718"/>
    <w:rsid w:val="00A57523"/>
    <w:rsid w:val="00A60778"/>
    <w:rsid w:val="00A6139B"/>
    <w:rsid w:val="00A67022"/>
    <w:rsid w:val="00A6751C"/>
    <w:rsid w:val="00A739ED"/>
    <w:rsid w:val="00A76B9E"/>
    <w:rsid w:val="00A803D4"/>
    <w:rsid w:val="00A864EF"/>
    <w:rsid w:val="00AA6591"/>
    <w:rsid w:val="00AC7F15"/>
    <w:rsid w:val="00AF69D7"/>
    <w:rsid w:val="00B069BA"/>
    <w:rsid w:val="00B1148E"/>
    <w:rsid w:val="00B118F2"/>
    <w:rsid w:val="00B136F3"/>
    <w:rsid w:val="00B14149"/>
    <w:rsid w:val="00B144DC"/>
    <w:rsid w:val="00B23995"/>
    <w:rsid w:val="00B3114B"/>
    <w:rsid w:val="00B32130"/>
    <w:rsid w:val="00B43588"/>
    <w:rsid w:val="00B46650"/>
    <w:rsid w:val="00B753A6"/>
    <w:rsid w:val="00B75DC8"/>
    <w:rsid w:val="00B779E7"/>
    <w:rsid w:val="00B823BC"/>
    <w:rsid w:val="00B92A25"/>
    <w:rsid w:val="00B96F8D"/>
    <w:rsid w:val="00BA483F"/>
    <w:rsid w:val="00BA6698"/>
    <w:rsid w:val="00BC25FE"/>
    <w:rsid w:val="00BD06DC"/>
    <w:rsid w:val="00BD4E34"/>
    <w:rsid w:val="00BE04EF"/>
    <w:rsid w:val="00BE487F"/>
    <w:rsid w:val="00BF67E2"/>
    <w:rsid w:val="00C33765"/>
    <w:rsid w:val="00C348A3"/>
    <w:rsid w:val="00C427FC"/>
    <w:rsid w:val="00C52416"/>
    <w:rsid w:val="00C57055"/>
    <w:rsid w:val="00C66911"/>
    <w:rsid w:val="00C749A3"/>
    <w:rsid w:val="00CB11A2"/>
    <w:rsid w:val="00CC033E"/>
    <w:rsid w:val="00CD7D51"/>
    <w:rsid w:val="00CE5BCE"/>
    <w:rsid w:val="00D028F6"/>
    <w:rsid w:val="00D11CAA"/>
    <w:rsid w:val="00D15164"/>
    <w:rsid w:val="00D17D09"/>
    <w:rsid w:val="00D31C5F"/>
    <w:rsid w:val="00D45B9D"/>
    <w:rsid w:val="00D5077B"/>
    <w:rsid w:val="00D70126"/>
    <w:rsid w:val="00D701FD"/>
    <w:rsid w:val="00D71A8F"/>
    <w:rsid w:val="00D74C05"/>
    <w:rsid w:val="00D80E10"/>
    <w:rsid w:val="00D8576C"/>
    <w:rsid w:val="00D91186"/>
    <w:rsid w:val="00DB5BFF"/>
    <w:rsid w:val="00DC1B0C"/>
    <w:rsid w:val="00DD13C5"/>
    <w:rsid w:val="00DF2FD6"/>
    <w:rsid w:val="00DF3DF5"/>
    <w:rsid w:val="00DF5032"/>
    <w:rsid w:val="00E046F1"/>
    <w:rsid w:val="00E05DCD"/>
    <w:rsid w:val="00E0760E"/>
    <w:rsid w:val="00E11914"/>
    <w:rsid w:val="00E22EEB"/>
    <w:rsid w:val="00E2359D"/>
    <w:rsid w:val="00E24055"/>
    <w:rsid w:val="00E279AC"/>
    <w:rsid w:val="00E50CBF"/>
    <w:rsid w:val="00E510F0"/>
    <w:rsid w:val="00E628DE"/>
    <w:rsid w:val="00E65CFC"/>
    <w:rsid w:val="00E70DA4"/>
    <w:rsid w:val="00E80B26"/>
    <w:rsid w:val="00EA23F1"/>
    <w:rsid w:val="00EC2819"/>
    <w:rsid w:val="00EE7EE7"/>
    <w:rsid w:val="00EF06DE"/>
    <w:rsid w:val="00EF33D4"/>
    <w:rsid w:val="00EF3466"/>
    <w:rsid w:val="00F06DE6"/>
    <w:rsid w:val="00F25ECC"/>
    <w:rsid w:val="00F36335"/>
    <w:rsid w:val="00F41B8D"/>
    <w:rsid w:val="00F565B3"/>
    <w:rsid w:val="00F57332"/>
    <w:rsid w:val="00F64523"/>
    <w:rsid w:val="00F877BB"/>
    <w:rsid w:val="00FA22D2"/>
    <w:rsid w:val="00FA6BBD"/>
    <w:rsid w:val="00FB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14:docId w14:val="08651899"/>
  <w15:docId w15:val="{0EA0B12E-CB12-4C8C-A4FC-89FEF0CF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0"/>
      <w:ind w:left="100"/>
      <w:outlineLvl w:val="0"/>
    </w:pPr>
    <w:rPr>
      <w:rFonts w:ascii="Cambria" w:eastAsia="Cambria" w:hAnsi="Cambria" w:cs="Cambria"/>
      <w:b/>
      <w:bCs/>
      <w:sz w:val="28"/>
      <w:szCs w:val="28"/>
    </w:rPr>
  </w:style>
  <w:style w:type="paragraph" w:styleId="Heading2">
    <w:name w:val="heading 2"/>
    <w:basedOn w:val="Normal"/>
    <w:uiPriority w:val="1"/>
    <w:qFormat/>
    <w:pPr>
      <w:ind w:left="860"/>
      <w:outlineLvl w:val="1"/>
    </w:pPr>
    <w:rPr>
      <w:rFonts w:ascii="Times New Roman" w:eastAsia="Times New Roman" w:hAnsi="Times New Roman" w:cs="Times New Roman"/>
      <w:sz w:val="24"/>
      <w:szCs w:val="24"/>
    </w:rPr>
  </w:style>
  <w:style w:type="paragraph" w:styleId="Heading3">
    <w:name w:val="heading 3"/>
    <w:basedOn w:val="Normal"/>
    <w:uiPriority w:val="1"/>
    <w:qFormat/>
    <w:pPr>
      <w:ind w:left="1580"/>
      <w:outlineLvl w:val="2"/>
    </w:pPr>
  </w:style>
  <w:style w:type="paragraph" w:styleId="Heading4">
    <w:name w:val="heading 4"/>
    <w:basedOn w:val="Normal"/>
    <w:uiPriority w:val="1"/>
    <w:qFormat/>
    <w:pPr>
      <w:ind w:left="158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1160"/>
    </w:pPr>
    <w:rPr>
      <w:rFonts w:ascii="Times New Roman" w:eastAsia="Times New Roman" w:hAnsi="Times New Roman" w:cs="Times New Roman"/>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49"/>
      <w:jc w:val="right"/>
    </w:pPr>
  </w:style>
  <w:style w:type="character" w:styleId="Hyperlink">
    <w:name w:val="Hyperlink"/>
    <w:basedOn w:val="DefaultParagraphFont"/>
    <w:uiPriority w:val="99"/>
    <w:unhideWhenUsed/>
    <w:rsid w:val="000D42EE"/>
    <w:rPr>
      <w:color w:val="0000FF" w:themeColor="hyperlink"/>
      <w:u w:val="single"/>
    </w:rPr>
  </w:style>
  <w:style w:type="paragraph" w:styleId="Header">
    <w:name w:val="header"/>
    <w:basedOn w:val="Normal"/>
    <w:link w:val="HeaderChar"/>
    <w:uiPriority w:val="99"/>
    <w:unhideWhenUsed/>
    <w:rsid w:val="00A57523"/>
    <w:pPr>
      <w:tabs>
        <w:tab w:val="center" w:pos="4680"/>
        <w:tab w:val="right" w:pos="9360"/>
      </w:tabs>
    </w:pPr>
  </w:style>
  <w:style w:type="character" w:customStyle="1" w:styleId="HeaderChar">
    <w:name w:val="Header Char"/>
    <w:basedOn w:val="DefaultParagraphFont"/>
    <w:link w:val="Header"/>
    <w:uiPriority w:val="99"/>
    <w:rsid w:val="00A57523"/>
    <w:rPr>
      <w:rFonts w:ascii="Arial" w:eastAsia="Arial" w:hAnsi="Arial" w:cs="Arial"/>
    </w:rPr>
  </w:style>
  <w:style w:type="paragraph" w:styleId="Footer">
    <w:name w:val="footer"/>
    <w:basedOn w:val="Normal"/>
    <w:link w:val="FooterChar"/>
    <w:uiPriority w:val="99"/>
    <w:unhideWhenUsed/>
    <w:rsid w:val="00A57523"/>
    <w:pPr>
      <w:tabs>
        <w:tab w:val="center" w:pos="4680"/>
        <w:tab w:val="right" w:pos="9360"/>
      </w:tabs>
    </w:pPr>
  </w:style>
  <w:style w:type="character" w:customStyle="1" w:styleId="FooterChar">
    <w:name w:val="Footer Char"/>
    <w:basedOn w:val="DefaultParagraphFont"/>
    <w:link w:val="Footer"/>
    <w:uiPriority w:val="99"/>
    <w:rsid w:val="00A57523"/>
    <w:rPr>
      <w:rFonts w:ascii="Arial" w:eastAsia="Arial" w:hAnsi="Arial" w:cs="Arial"/>
    </w:rPr>
  </w:style>
  <w:style w:type="paragraph" w:styleId="BalloonText">
    <w:name w:val="Balloon Text"/>
    <w:basedOn w:val="Normal"/>
    <w:link w:val="BalloonTextChar"/>
    <w:uiPriority w:val="99"/>
    <w:semiHidden/>
    <w:unhideWhenUsed/>
    <w:rsid w:val="00976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B80"/>
    <w:rPr>
      <w:rFonts w:ascii="Segoe UI" w:eastAsia="Arial" w:hAnsi="Segoe UI" w:cs="Segoe UI"/>
      <w:sz w:val="18"/>
      <w:szCs w:val="18"/>
    </w:rPr>
  </w:style>
  <w:style w:type="character" w:styleId="FollowedHyperlink">
    <w:name w:val="FollowedHyperlink"/>
    <w:basedOn w:val="DefaultParagraphFont"/>
    <w:uiPriority w:val="99"/>
    <w:semiHidden/>
    <w:unhideWhenUsed/>
    <w:rsid w:val="00CD7D51"/>
    <w:rPr>
      <w:color w:val="800080" w:themeColor="followedHyperlink"/>
      <w:u w:val="single"/>
    </w:rPr>
  </w:style>
  <w:style w:type="character" w:styleId="CommentReference">
    <w:name w:val="annotation reference"/>
    <w:basedOn w:val="DefaultParagraphFont"/>
    <w:uiPriority w:val="99"/>
    <w:semiHidden/>
    <w:unhideWhenUsed/>
    <w:rsid w:val="00D17D09"/>
    <w:rPr>
      <w:sz w:val="16"/>
      <w:szCs w:val="16"/>
    </w:rPr>
  </w:style>
  <w:style w:type="paragraph" w:styleId="CommentText">
    <w:name w:val="annotation text"/>
    <w:basedOn w:val="Normal"/>
    <w:link w:val="CommentTextChar"/>
    <w:uiPriority w:val="99"/>
    <w:semiHidden/>
    <w:unhideWhenUsed/>
    <w:rsid w:val="00D17D09"/>
    <w:rPr>
      <w:sz w:val="20"/>
      <w:szCs w:val="20"/>
    </w:rPr>
  </w:style>
  <w:style w:type="character" w:customStyle="1" w:styleId="CommentTextChar">
    <w:name w:val="Comment Text Char"/>
    <w:basedOn w:val="DefaultParagraphFont"/>
    <w:link w:val="CommentText"/>
    <w:uiPriority w:val="99"/>
    <w:semiHidden/>
    <w:rsid w:val="00D17D0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7D09"/>
    <w:rPr>
      <w:b/>
      <w:bCs/>
    </w:rPr>
  </w:style>
  <w:style w:type="character" w:customStyle="1" w:styleId="CommentSubjectChar">
    <w:name w:val="Comment Subject Char"/>
    <w:basedOn w:val="CommentTextChar"/>
    <w:link w:val="CommentSubject"/>
    <w:uiPriority w:val="99"/>
    <w:semiHidden/>
    <w:rsid w:val="00D17D09"/>
    <w:rPr>
      <w:rFonts w:ascii="Arial" w:eastAsia="Arial" w:hAnsi="Arial" w:cs="Arial"/>
      <w:b/>
      <w:bCs/>
      <w:sz w:val="20"/>
      <w:szCs w:val="20"/>
    </w:rPr>
  </w:style>
  <w:style w:type="paragraph" w:customStyle="1" w:styleId="NoteText">
    <w:name w:val="Note Text"/>
    <w:basedOn w:val="Normal"/>
    <w:link w:val="NoteTextChar"/>
    <w:uiPriority w:val="7"/>
    <w:qFormat/>
    <w:rsid w:val="00A05ED7"/>
    <w:pPr>
      <w:autoSpaceDE/>
      <w:autoSpaceDN/>
      <w:spacing w:line="276" w:lineRule="auto"/>
    </w:pPr>
    <w:rPr>
      <w:rFonts w:eastAsia="Times New Roman" w:cs="Times New Roman"/>
      <w:sz w:val="20"/>
      <w:szCs w:val="20"/>
    </w:rPr>
  </w:style>
  <w:style w:type="character" w:customStyle="1" w:styleId="NoteTextChar">
    <w:name w:val="Note Text Char"/>
    <w:link w:val="NoteText"/>
    <w:uiPriority w:val="7"/>
    <w:rsid w:val="00A05ED7"/>
    <w:rPr>
      <w:rFonts w:ascii="Arial" w:eastAsia="Times New Roman" w:hAnsi="Arial" w:cs="Times New Roman"/>
      <w:sz w:val="20"/>
      <w:szCs w:val="20"/>
    </w:rPr>
  </w:style>
  <w:style w:type="table" w:styleId="TableGrid">
    <w:name w:val="Table Grid"/>
    <w:basedOn w:val="TableNormal"/>
    <w:uiPriority w:val="39"/>
    <w:rsid w:val="00A6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537">
      <w:bodyDiv w:val="1"/>
      <w:marLeft w:val="0"/>
      <w:marRight w:val="0"/>
      <w:marTop w:val="0"/>
      <w:marBottom w:val="0"/>
      <w:divBdr>
        <w:top w:val="none" w:sz="0" w:space="0" w:color="auto"/>
        <w:left w:val="none" w:sz="0" w:space="0" w:color="auto"/>
        <w:bottom w:val="none" w:sz="0" w:space="0" w:color="auto"/>
        <w:right w:val="none" w:sz="0" w:space="0" w:color="auto"/>
      </w:divBdr>
    </w:div>
    <w:div w:id="269552453">
      <w:bodyDiv w:val="1"/>
      <w:marLeft w:val="0"/>
      <w:marRight w:val="0"/>
      <w:marTop w:val="0"/>
      <w:marBottom w:val="0"/>
      <w:divBdr>
        <w:top w:val="none" w:sz="0" w:space="0" w:color="auto"/>
        <w:left w:val="none" w:sz="0" w:space="0" w:color="auto"/>
        <w:bottom w:val="none" w:sz="0" w:space="0" w:color="auto"/>
        <w:right w:val="none" w:sz="0" w:space="0" w:color="auto"/>
      </w:divBdr>
    </w:div>
    <w:div w:id="411850974">
      <w:bodyDiv w:val="1"/>
      <w:marLeft w:val="0"/>
      <w:marRight w:val="0"/>
      <w:marTop w:val="0"/>
      <w:marBottom w:val="0"/>
      <w:divBdr>
        <w:top w:val="none" w:sz="0" w:space="0" w:color="auto"/>
        <w:left w:val="none" w:sz="0" w:space="0" w:color="auto"/>
        <w:bottom w:val="none" w:sz="0" w:space="0" w:color="auto"/>
        <w:right w:val="none" w:sz="0" w:space="0" w:color="auto"/>
      </w:divBdr>
    </w:div>
    <w:div w:id="430012477">
      <w:bodyDiv w:val="1"/>
      <w:marLeft w:val="0"/>
      <w:marRight w:val="0"/>
      <w:marTop w:val="0"/>
      <w:marBottom w:val="0"/>
      <w:divBdr>
        <w:top w:val="none" w:sz="0" w:space="0" w:color="auto"/>
        <w:left w:val="none" w:sz="0" w:space="0" w:color="auto"/>
        <w:bottom w:val="none" w:sz="0" w:space="0" w:color="auto"/>
        <w:right w:val="none" w:sz="0" w:space="0" w:color="auto"/>
      </w:divBdr>
    </w:div>
    <w:div w:id="537812585">
      <w:bodyDiv w:val="1"/>
      <w:marLeft w:val="0"/>
      <w:marRight w:val="0"/>
      <w:marTop w:val="0"/>
      <w:marBottom w:val="0"/>
      <w:divBdr>
        <w:top w:val="none" w:sz="0" w:space="0" w:color="auto"/>
        <w:left w:val="none" w:sz="0" w:space="0" w:color="auto"/>
        <w:bottom w:val="none" w:sz="0" w:space="0" w:color="auto"/>
        <w:right w:val="none" w:sz="0" w:space="0" w:color="auto"/>
      </w:divBdr>
    </w:div>
    <w:div w:id="596207384">
      <w:bodyDiv w:val="1"/>
      <w:marLeft w:val="0"/>
      <w:marRight w:val="0"/>
      <w:marTop w:val="0"/>
      <w:marBottom w:val="0"/>
      <w:divBdr>
        <w:top w:val="none" w:sz="0" w:space="0" w:color="auto"/>
        <w:left w:val="none" w:sz="0" w:space="0" w:color="auto"/>
        <w:bottom w:val="none" w:sz="0" w:space="0" w:color="auto"/>
        <w:right w:val="none" w:sz="0" w:space="0" w:color="auto"/>
      </w:divBdr>
    </w:div>
    <w:div w:id="599336559">
      <w:bodyDiv w:val="1"/>
      <w:marLeft w:val="0"/>
      <w:marRight w:val="0"/>
      <w:marTop w:val="0"/>
      <w:marBottom w:val="0"/>
      <w:divBdr>
        <w:top w:val="none" w:sz="0" w:space="0" w:color="auto"/>
        <w:left w:val="none" w:sz="0" w:space="0" w:color="auto"/>
        <w:bottom w:val="none" w:sz="0" w:space="0" w:color="auto"/>
        <w:right w:val="none" w:sz="0" w:space="0" w:color="auto"/>
      </w:divBdr>
    </w:div>
    <w:div w:id="720831646">
      <w:bodyDiv w:val="1"/>
      <w:marLeft w:val="0"/>
      <w:marRight w:val="0"/>
      <w:marTop w:val="0"/>
      <w:marBottom w:val="0"/>
      <w:divBdr>
        <w:top w:val="none" w:sz="0" w:space="0" w:color="auto"/>
        <w:left w:val="none" w:sz="0" w:space="0" w:color="auto"/>
        <w:bottom w:val="none" w:sz="0" w:space="0" w:color="auto"/>
        <w:right w:val="none" w:sz="0" w:space="0" w:color="auto"/>
      </w:divBdr>
    </w:div>
    <w:div w:id="1066953644">
      <w:bodyDiv w:val="1"/>
      <w:marLeft w:val="0"/>
      <w:marRight w:val="0"/>
      <w:marTop w:val="0"/>
      <w:marBottom w:val="0"/>
      <w:divBdr>
        <w:top w:val="none" w:sz="0" w:space="0" w:color="auto"/>
        <w:left w:val="none" w:sz="0" w:space="0" w:color="auto"/>
        <w:bottom w:val="none" w:sz="0" w:space="0" w:color="auto"/>
        <w:right w:val="none" w:sz="0" w:space="0" w:color="auto"/>
      </w:divBdr>
    </w:div>
    <w:div w:id="1096484356">
      <w:bodyDiv w:val="1"/>
      <w:marLeft w:val="0"/>
      <w:marRight w:val="0"/>
      <w:marTop w:val="0"/>
      <w:marBottom w:val="0"/>
      <w:divBdr>
        <w:top w:val="none" w:sz="0" w:space="0" w:color="auto"/>
        <w:left w:val="none" w:sz="0" w:space="0" w:color="auto"/>
        <w:bottom w:val="none" w:sz="0" w:space="0" w:color="auto"/>
        <w:right w:val="none" w:sz="0" w:space="0" w:color="auto"/>
      </w:divBdr>
    </w:div>
    <w:div w:id="1303927961">
      <w:bodyDiv w:val="1"/>
      <w:marLeft w:val="0"/>
      <w:marRight w:val="0"/>
      <w:marTop w:val="0"/>
      <w:marBottom w:val="0"/>
      <w:divBdr>
        <w:top w:val="none" w:sz="0" w:space="0" w:color="auto"/>
        <w:left w:val="none" w:sz="0" w:space="0" w:color="auto"/>
        <w:bottom w:val="none" w:sz="0" w:space="0" w:color="auto"/>
        <w:right w:val="none" w:sz="0" w:space="0" w:color="auto"/>
      </w:divBdr>
    </w:div>
    <w:div w:id="1337535169">
      <w:bodyDiv w:val="1"/>
      <w:marLeft w:val="0"/>
      <w:marRight w:val="0"/>
      <w:marTop w:val="0"/>
      <w:marBottom w:val="0"/>
      <w:divBdr>
        <w:top w:val="none" w:sz="0" w:space="0" w:color="auto"/>
        <w:left w:val="none" w:sz="0" w:space="0" w:color="auto"/>
        <w:bottom w:val="none" w:sz="0" w:space="0" w:color="auto"/>
        <w:right w:val="none" w:sz="0" w:space="0" w:color="auto"/>
      </w:divBdr>
    </w:div>
    <w:div w:id="1377390038">
      <w:bodyDiv w:val="1"/>
      <w:marLeft w:val="0"/>
      <w:marRight w:val="0"/>
      <w:marTop w:val="0"/>
      <w:marBottom w:val="0"/>
      <w:divBdr>
        <w:top w:val="none" w:sz="0" w:space="0" w:color="auto"/>
        <w:left w:val="none" w:sz="0" w:space="0" w:color="auto"/>
        <w:bottom w:val="none" w:sz="0" w:space="0" w:color="auto"/>
        <w:right w:val="none" w:sz="0" w:space="0" w:color="auto"/>
      </w:divBdr>
    </w:div>
    <w:div w:id="1415128893">
      <w:bodyDiv w:val="1"/>
      <w:marLeft w:val="0"/>
      <w:marRight w:val="0"/>
      <w:marTop w:val="0"/>
      <w:marBottom w:val="0"/>
      <w:divBdr>
        <w:top w:val="none" w:sz="0" w:space="0" w:color="auto"/>
        <w:left w:val="none" w:sz="0" w:space="0" w:color="auto"/>
        <w:bottom w:val="none" w:sz="0" w:space="0" w:color="auto"/>
        <w:right w:val="none" w:sz="0" w:space="0" w:color="auto"/>
      </w:divBdr>
    </w:div>
    <w:div w:id="1431047742">
      <w:bodyDiv w:val="1"/>
      <w:marLeft w:val="0"/>
      <w:marRight w:val="0"/>
      <w:marTop w:val="0"/>
      <w:marBottom w:val="0"/>
      <w:divBdr>
        <w:top w:val="none" w:sz="0" w:space="0" w:color="auto"/>
        <w:left w:val="none" w:sz="0" w:space="0" w:color="auto"/>
        <w:bottom w:val="none" w:sz="0" w:space="0" w:color="auto"/>
        <w:right w:val="none" w:sz="0" w:space="0" w:color="auto"/>
      </w:divBdr>
    </w:div>
    <w:div w:id="1443184039">
      <w:bodyDiv w:val="1"/>
      <w:marLeft w:val="0"/>
      <w:marRight w:val="0"/>
      <w:marTop w:val="0"/>
      <w:marBottom w:val="0"/>
      <w:divBdr>
        <w:top w:val="none" w:sz="0" w:space="0" w:color="auto"/>
        <w:left w:val="none" w:sz="0" w:space="0" w:color="auto"/>
        <w:bottom w:val="none" w:sz="0" w:space="0" w:color="auto"/>
        <w:right w:val="none" w:sz="0" w:space="0" w:color="auto"/>
      </w:divBdr>
    </w:div>
    <w:div w:id="1555774926">
      <w:bodyDiv w:val="1"/>
      <w:marLeft w:val="0"/>
      <w:marRight w:val="0"/>
      <w:marTop w:val="0"/>
      <w:marBottom w:val="0"/>
      <w:divBdr>
        <w:top w:val="none" w:sz="0" w:space="0" w:color="auto"/>
        <w:left w:val="none" w:sz="0" w:space="0" w:color="auto"/>
        <w:bottom w:val="none" w:sz="0" w:space="0" w:color="auto"/>
        <w:right w:val="none" w:sz="0" w:space="0" w:color="auto"/>
      </w:divBdr>
    </w:div>
    <w:div w:id="1656495914">
      <w:bodyDiv w:val="1"/>
      <w:marLeft w:val="0"/>
      <w:marRight w:val="0"/>
      <w:marTop w:val="0"/>
      <w:marBottom w:val="0"/>
      <w:divBdr>
        <w:top w:val="none" w:sz="0" w:space="0" w:color="auto"/>
        <w:left w:val="none" w:sz="0" w:space="0" w:color="auto"/>
        <w:bottom w:val="none" w:sz="0" w:space="0" w:color="auto"/>
        <w:right w:val="none" w:sz="0" w:space="0" w:color="auto"/>
      </w:divBdr>
    </w:div>
    <w:div w:id="1835678388">
      <w:bodyDiv w:val="1"/>
      <w:marLeft w:val="0"/>
      <w:marRight w:val="0"/>
      <w:marTop w:val="0"/>
      <w:marBottom w:val="0"/>
      <w:divBdr>
        <w:top w:val="none" w:sz="0" w:space="0" w:color="auto"/>
        <w:left w:val="none" w:sz="0" w:space="0" w:color="auto"/>
        <w:bottom w:val="none" w:sz="0" w:space="0" w:color="auto"/>
        <w:right w:val="none" w:sz="0" w:space="0" w:color="auto"/>
      </w:divBdr>
    </w:div>
    <w:div w:id="196504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3415-2E4E-43E5-96A6-27F3CA59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3290</TotalTime>
  <Pages>18</Pages>
  <Words>2545</Words>
  <Characters>14509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Microsoft Word - 2017 GASB 68 Implementation Guide for Employers_062917</vt:lpstr>
    </vt:vector>
  </TitlesOfParts>
  <Company>Moss Adams LLP</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GASB 68 Implementation Guide for Employers_062917</dc:title>
  <dc:creator>NormaH</dc:creator>
  <cp:lastModifiedBy>Aaron Hamilton</cp:lastModifiedBy>
  <cp:revision>181</cp:revision>
  <cp:lastPrinted>2020-07-13T18:18:00Z</cp:lastPrinted>
  <dcterms:created xsi:type="dcterms:W3CDTF">2018-06-25T09:18:00Z</dcterms:created>
  <dcterms:modified xsi:type="dcterms:W3CDTF">2024-06-04T23:23:00Z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2017-06-30T00:00:00Z</vt:filetime>
  </op:property>
  <op:property fmtid="{D5CDD505-2E9C-101B-9397-08002B2CF9AE}" pid="3" name="Creator">
    <vt:lpwstr>PScript5.dll Version 5.2.2</vt:lpwstr>
  </op:property>
  <op:property fmtid="{D5CDD505-2E9C-101B-9397-08002B2CF9AE}" pid="4" name="LastSaved">
    <vt:filetime>2018-06-25T00:00:00Z</vt:filetime>
  </op:property>
  <op:property fmtid="{D5CDD505-2E9C-101B-9397-08002B2CF9AE}" pid="5" name="Version">
    <vt:i4>20</vt:i4>
  </op:property>
  <op:property fmtid="{D5CDD505-2E9C-101B-9397-08002B2CF9AE}" pid="6" name="tabName">
    <vt:lpwstr>User Guide (Non Attest)</vt:lpwstr>
  </op:property>
  <op:property fmtid="{D5CDD505-2E9C-101B-9397-08002B2CF9AE}" pid="7" name="tabIndex">
    <vt:lpwstr>A-105</vt:lpwstr>
  </op:property>
  <op:property fmtid="{D5CDD505-2E9C-101B-9397-08002B2CF9AE}" pid="8" name="workpaperIndex">
    <vt:lpwstr>A-106</vt:lpwstr>
  </op:property>
</op:Properties>
</file>